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9E" w:rsidRPr="009B5D9E" w:rsidRDefault="00A32658" w:rsidP="009B5D9E">
      <w:pPr>
        <w:pStyle w:val="Heading1"/>
        <w:spacing w:after="240"/>
        <w:rPr>
          <w:rFonts w:ascii="Trebuchet MS" w:hAnsi="Trebuchet MS"/>
          <w:b w:val="0"/>
          <w:noProof/>
          <w:lang w:val="en-CA"/>
        </w:rPr>
      </w:pPr>
      <w:r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>Cr</w:t>
      </w:r>
      <w:r w:rsidR="001F6E93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 xml:space="preserve">itères de </w:t>
      </w:r>
      <w:r w:rsidR="00D2492A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>qualit</w:t>
      </w:r>
      <w:bookmarkStart w:id="0" w:name="_GoBack"/>
      <w:bookmarkEnd w:id="0"/>
      <w:r w:rsidR="00D2492A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>é</w:t>
      </w:r>
      <w:r w:rsidR="001F6E93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 xml:space="preserve"> du travail </w:t>
      </w:r>
      <w:r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 xml:space="preserve">établis </w:t>
      </w:r>
      <w:r w:rsidR="001F6E93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>par les élèves</w:t>
      </w:r>
      <w:r w:rsidR="00A8142E">
        <w:rPr>
          <w:rFonts w:ascii="Trebuchet MS" w:eastAsia="Trebuchet MS" w:hAnsi="Trebuchet MS" w:cs="Trebuchet MS"/>
          <w:bCs/>
          <w:noProof/>
          <w:szCs w:val="32"/>
          <w:bdr w:val="nil"/>
          <w:lang w:val="fr-CA"/>
        </w:rPr>
        <w:t xml:space="preserve"> eux-mêmes</w:t>
      </w:r>
    </w:p>
    <w:p w:rsidR="009B5D9E" w:rsidRPr="009B5D9E" w:rsidRDefault="00D2492A" w:rsidP="009B5D9E">
      <w:pPr>
        <w:spacing w:after="240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Le processus d</w:t>
      </w:r>
      <w:r w:rsidR="001F6E93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’établissement de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critères</w:t>
      </w:r>
      <w:r w:rsidR="001F6E93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de qualité du travail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par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les élèves </w:t>
      </w:r>
      <w:r w:rsidR="00A32658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eux-mêmes </w:t>
      </w:r>
      <w:r w:rsidR="001F6E93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est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une séquence d’enseignement et d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apprentissage qui s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échelonne sur </w:t>
      </w:r>
      <w:r w:rsidR="00A32658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une période de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quatre à six semaines. Il convient de limiter le nombre de critères (de trois et cinq) afin que ceux-ci 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soient le reflet de résultats d’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apprentissage ciblé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s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ou 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apprentissages essentiels. Gardez à l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esprit que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«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 moins, c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est plus ».</w:t>
      </w:r>
    </w:p>
    <w:p w:rsidR="009B5D9E" w:rsidRPr="009B5D9E" w:rsidRDefault="00D2492A" w:rsidP="009B5D9E">
      <w:pPr>
        <w:numPr>
          <w:ilvl w:val="0"/>
          <w:numId w:val="9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Précisez 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l’objectif d’une tâche et ciblez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le ou les résultats d’apprentissage appropriés.</w:t>
      </w:r>
    </w:p>
    <w:p w:rsidR="009B5D9E" w:rsidRPr="009B5D9E" w:rsidRDefault="00D2492A" w:rsidP="009B5D9E">
      <w:pPr>
        <w:numPr>
          <w:ilvl w:val="0"/>
          <w:numId w:val="2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Partagez des modèles « exemplaire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s » de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travaux de qualité.</w:t>
      </w:r>
    </w:p>
    <w:p w:rsidR="009B5D9E" w:rsidRPr="009B5D9E" w:rsidRDefault="00D2492A" w:rsidP="009B5D9E">
      <w:pPr>
        <w:numPr>
          <w:ilvl w:val="0"/>
          <w:numId w:val="3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Aidez les élèves à répondre à la question « Qu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est-ce qui est efficace? » à partir d’un modèle ou d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une copie type.</w:t>
      </w:r>
    </w:p>
    <w:p w:rsidR="009B5D9E" w:rsidRPr="009B5D9E" w:rsidRDefault="00D2492A" w:rsidP="009B5D9E">
      <w:pPr>
        <w:numPr>
          <w:ilvl w:val="0"/>
          <w:numId w:val="4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Invitez les élèves à échanger sur la question « Qu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est-ce qui est efficace? » à partir de leur propre travail. 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Définissez ensemble ce qu’est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un travail de qualité.</w:t>
      </w:r>
    </w:p>
    <w:p w:rsidR="009B5D9E" w:rsidRPr="009B5D9E" w:rsidRDefault="00D2492A" w:rsidP="009B5D9E">
      <w:pPr>
        <w:numPr>
          <w:ilvl w:val="0"/>
          <w:numId w:val="5"/>
        </w:numPr>
        <w:tabs>
          <w:tab w:val="clear" w:pos="360"/>
        </w:tabs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Enregistrez les réponses sur un graphique illustrant l’expérience de la classe.</w:t>
      </w:r>
    </w:p>
    <w:p w:rsidR="009B5D9E" w:rsidRPr="009B5D9E" w:rsidRDefault="00D2492A" w:rsidP="009B5D9E">
      <w:pPr>
        <w:tabs>
          <w:tab w:val="left" w:leader="underscore" w:pos="3969"/>
        </w:tabs>
        <w:spacing w:after="240"/>
        <w:ind w:left="851" w:hanging="425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Un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ou une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</w:t>
      </w:r>
      <w:r w:rsidR="00F50580">
        <w:rPr>
          <w:rFonts w:ascii="Trebuchet MS" w:hAnsi="Trebuchet MS"/>
          <w:noProof/>
          <w:lang w:val="en-CA"/>
        </w:rPr>
        <w:t>___________________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de qualité ressemble à :</w:t>
      </w:r>
    </w:p>
    <w:p w:rsidR="009B5D9E" w:rsidRPr="009B5D9E" w:rsidRDefault="00D2492A" w:rsidP="009B5D9E">
      <w:pPr>
        <w:numPr>
          <w:ilvl w:val="0"/>
          <w:numId w:val="4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Continuez de représenter graphiquement les réponses sur plusieurs jours/semaines pour « voir » les différences et bien appréhender les qualités, les caractéristiques et le processus 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’établissement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de critères.</w:t>
      </w:r>
    </w:p>
    <w:p w:rsidR="009B5D9E" w:rsidRPr="009B5D9E" w:rsidRDefault="00F50580" w:rsidP="009B5D9E">
      <w:pPr>
        <w:numPr>
          <w:ilvl w:val="0"/>
          <w:numId w:val="5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lastRenderedPageBreak/>
        <w:t>Utilisez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les réponses </w:t>
      </w:r>
      <w:r w:rsidR="000C3B6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graphiquement 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illustrées </w:t>
      </w:r>
      <w:r w:rsidR="000C3B6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pour 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trier et pré</w:t>
      </w:r>
      <w:r w:rsidR="000C3B6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voir 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les </w:t>
      </w:r>
      <w:r w:rsidR="000C3B6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GRANDES 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idées (aspects importants de la tâche, questions essentielles, compétences ou comportements évalués). Répétez ce processus pendant toute la période d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étude du thème ou de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l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’unité d’apprentissage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, sur une période de quatre à six semaines, afin d’améliorer et d’approfondir la réflexion et de </w:t>
      </w:r>
      <w:r w:rsidR="00217C7B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rehausser les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attentes </w:t>
      </w:r>
      <w:r w:rsidR="000C3B6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relatives 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à la qualité des travaux.</w:t>
      </w:r>
    </w:p>
    <w:p w:rsidR="009B5D9E" w:rsidRPr="009B5D9E" w:rsidRDefault="00D2492A" w:rsidP="009B5D9E">
      <w:pPr>
        <w:numPr>
          <w:ilvl w:val="0"/>
          <w:numId w:val="6"/>
        </w:numPr>
        <w:tabs>
          <w:tab w:val="clear" w:pos="360"/>
        </w:tabs>
        <w:spacing w:after="240"/>
        <w:ind w:left="426" w:hanging="426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Affichez une liste de contrôle ou un tableau en T comme le suivant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4"/>
        <w:gridCol w:w="2749"/>
        <w:gridCol w:w="2749"/>
      </w:tblGrid>
      <w:tr w:rsidR="00193FFB" w:rsidTr="006A2A3E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D2492A" w:rsidP="00A8142E">
            <w:pPr>
              <w:rPr>
                <w:rFonts w:ascii="Trebuchet MS" w:hAnsi="Trebuchet MS"/>
                <w:b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 w:val="18"/>
                <w:szCs w:val="18"/>
                <w:bdr w:val="nil"/>
                <w:lang w:val="fr-CA"/>
              </w:rPr>
              <w:t xml:space="preserve">Critères </w:t>
            </w:r>
            <w:r w:rsidR="00A8142E">
              <w:rPr>
                <w:rFonts w:ascii="Trebuchet MS" w:eastAsia="Trebuchet MS" w:hAnsi="Trebuchet MS" w:cs="Trebuchet MS"/>
                <w:b/>
                <w:bCs/>
                <w:noProof/>
                <w:sz w:val="18"/>
                <w:szCs w:val="18"/>
                <w:bdr w:val="nil"/>
                <w:lang w:val="fr-CA"/>
              </w:rPr>
              <w:t xml:space="preserve">de qualité du 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 w:val="18"/>
                <w:szCs w:val="18"/>
                <w:bdr w:val="nil"/>
                <w:lang w:val="fr-CA"/>
              </w:rPr>
              <w:t>travail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</w:tcBorders>
          </w:tcPr>
          <w:p w:rsidR="009B5D9E" w:rsidRPr="009B5D9E" w:rsidRDefault="00D2492A" w:rsidP="006A2A3E">
            <w:pPr>
              <w:jc w:val="center"/>
              <w:rPr>
                <w:rFonts w:ascii="Trebuchet MS" w:hAnsi="Trebuchet MS"/>
                <w:b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 w:val="18"/>
                <w:szCs w:val="18"/>
                <w:bdr w:val="nil"/>
                <w:lang w:val="fr-CA"/>
              </w:rPr>
              <w:t>Atteint (A)</w:t>
            </w:r>
          </w:p>
        </w:tc>
        <w:tc>
          <w:tcPr>
            <w:tcW w:w="1468" w:type="pct"/>
            <w:tcBorders>
              <w:top w:val="nil"/>
              <w:bottom w:val="nil"/>
              <w:right w:val="nil"/>
            </w:tcBorders>
          </w:tcPr>
          <w:p w:rsidR="009B5D9E" w:rsidRPr="009B5D9E" w:rsidRDefault="00D2492A" w:rsidP="006A2A3E">
            <w:pPr>
              <w:jc w:val="center"/>
              <w:rPr>
                <w:rFonts w:ascii="Trebuchet MS" w:hAnsi="Trebuchet MS"/>
                <w:b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 w:val="18"/>
                <w:szCs w:val="18"/>
                <w:bdr w:val="nil"/>
                <w:lang w:val="fr-CA"/>
              </w:rPr>
              <w:t>Pas encore atteint (PEA)</w:t>
            </w:r>
          </w:p>
        </w:tc>
      </w:tr>
      <w:tr w:rsidR="00193FFB" w:rsidTr="006A2A3E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numPr>
                <w:ilvl w:val="0"/>
                <w:numId w:val="12"/>
              </w:numPr>
              <w:ind w:left="252"/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</w:tr>
      <w:tr w:rsidR="00193FFB" w:rsidTr="006A2A3E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numPr>
                <w:ilvl w:val="0"/>
                <w:numId w:val="12"/>
              </w:numPr>
              <w:ind w:left="252"/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</w:tr>
      <w:tr w:rsidR="00193FFB" w:rsidTr="006A2A3E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numPr>
                <w:ilvl w:val="0"/>
                <w:numId w:val="12"/>
              </w:numPr>
              <w:ind w:left="252"/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</w:tr>
      <w:tr w:rsidR="00193FFB" w:rsidTr="006A2A3E"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numPr>
                <w:ilvl w:val="0"/>
                <w:numId w:val="12"/>
              </w:numPr>
              <w:ind w:left="252"/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D9E" w:rsidRPr="009B5D9E" w:rsidRDefault="00BE430E" w:rsidP="006A2A3E">
            <w:pPr>
              <w:rPr>
                <w:noProof/>
                <w:sz w:val="16"/>
                <w:lang w:val="en-CA"/>
              </w:rPr>
            </w:pPr>
          </w:p>
        </w:tc>
      </w:tr>
    </w:tbl>
    <w:p w:rsidR="009B5D9E" w:rsidRPr="009B5D9E" w:rsidRDefault="00D2492A" w:rsidP="009B5D9E">
      <w:pPr>
        <w:numPr>
          <w:ilvl w:val="0"/>
          <w:numId w:val="7"/>
        </w:numPr>
        <w:tabs>
          <w:tab w:val="clear" w:pos="360"/>
        </w:tabs>
        <w:spacing w:before="240" w:after="240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Demandez aux élèves d</w:t>
      </w:r>
      <w:r w:rsidR="00103245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utiliser la liste de contrôle</w:t>
      </w:r>
      <w:r w:rsidR="00F50580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 ou le tableau en T pour s’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évaluer et évaluer leurs pairs. Utilisez les mêmes critères pour 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le suivi d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s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observations et </w:t>
      </w:r>
      <w:r w:rsidR="00A8142E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d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es évaluations sommatives.</w:t>
      </w:r>
    </w:p>
    <w:p w:rsidR="009B5D9E" w:rsidRPr="009B5D9E" w:rsidRDefault="000C3B6E" w:rsidP="000C3B6E">
      <w:pPr>
        <w:numPr>
          <w:ilvl w:val="0"/>
          <w:numId w:val="8"/>
        </w:numPr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Rehaussez </w:t>
      </w:r>
      <w:r w:rsidRPr="000C3B6E">
        <w:rPr>
          <w:rFonts w:ascii="Trebuchet MS" w:eastAsia="Trebuchet MS" w:hAnsi="Trebuchet MS" w:cs="Trebuchet MS"/>
          <w:i/>
          <w:noProof/>
          <w:szCs w:val="24"/>
          <w:bdr w:val="nil"/>
          <w:lang w:val="fr-CA"/>
        </w:rPr>
        <w:t xml:space="preserve">sans cesse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les critères</w:t>
      </w:r>
      <w:r w:rsidR="00D2492A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, à mesure que les élèves approfondissent leurs apprentissages</w:t>
      </w:r>
      <w:r w:rsidR="00D2492A">
        <w:rPr>
          <w:rFonts w:ascii="Trebuchet MS" w:eastAsia="Trebuchet MS" w:hAnsi="Trebuchet MS" w:cs="Trebuchet MS"/>
          <w:i/>
          <w:iCs/>
          <w:noProof/>
          <w:szCs w:val="24"/>
          <w:bdr w:val="nil"/>
          <w:lang w:val="fr-CA"/>
        </w:rPr>
        <w:t>.</w:t>
      </w:r>
    </w:p>
    <w:sectPr w:rsidR="009B5D9E" w:rsidRPr="009B5D9E" w:rsidSect="00C84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1440" w:left="1440" w:header="72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9F" w:rsidRDefault="00E63B9F">
      <w:r>
        <w:separator/>
      </w:r>
    </w:p>
  </w:endnote>
  <w:endnote w:type="continuationSeparator" w:id="0">
    <w:p w:rsidR="00E63B9F" w:rsidRDefault="00E6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9" w:rsidRDefault="00C8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58" w:rsidRPr="009B5D9E" w:rsidRDefault="00D2492A">
    <w:pPr>
      <w:spacing w:after="60"/>
      <w:rPr>
        <w:noProof/>
        <w:lang w:val="en-CA"/>
      </w:rPr>
    </w:pPr>
    <w:r w:rsidRPr="009B5D9E">
      <w:rPr>
        <w:noProof/>
        <w:lang w:val="en-CA"/>
      </w:rPr>
      <w:t>_________</w:t>
    </w:r>
  </w:p>
  <w:p w:rsidR="00870758" w:rsidRDefault="00D2492A">
    <w:pPr>
      <w:pStyle w:val="Footer"/>
      <w:rPr>
        <w:rFonts w:ascii="Trebuchet MS" w:eastAsia="Trebuchet MS" w:hAnsi="Trebuchet MS" w:cs="Trebuchet MS"/>
        <w:noProof/>
        <w:sz w:val="16"/>
        <w:szCs w:val="16"/>
        <w:bdr w:val="nil"/>
        <w:lang w:val="fr-CA"/>
      </w:rPr>
    </w:pPr>
    <w:r>
      <w:rPr>
        <w:rFonts w:ascii="Trebuchet MS" w:eastAsia="Trebuchet MS" w:hAnsi="Trebuchet MS" w:cs="Trebuchet MS"/>
        <w:noProof/>
        <w:sz w:val="16"/>
        <w:szCs w:val="16"/>
        <w:bdr w:val="nil"/>
        <w:lang w:val="fr-CA"/>
      </w:rPr>
      <w:t>Adapté, avec permission, de Kathleen Gregory, Caren Cameron et Anne Davies</w:t>
    </w:r>
    <w:r>
      <w:rPr>
        <w:rFonts w:ascii="Trebuchet MS" w:eastAsia="Trebuchet MS" w:hAnsi="Trebuchet MS" w:cs="Trebuchet MS"/>
        <w:i/>
        <w:iCs/>
        <w:noProof/>
        <w:sz w:val="16"/>
        <w:szCs w:val="16"/>
        <w:bdr w:val="nil"/>
        <w:lang w:val="fr-CA"/>
      </w:rPr>
      <w:t xml:space="preserve">, Setting and Using Criteria: For Use in Middle and Secondary School Classrooms </w:t>
    </w:r>
    <w:r>
      <w:rPr>
        <w:rFonts w:ascii="Trebuchet MS" w:eastAsia="Trebuchet MS" w:hAnsi="Trebuchet MS" w:cs="Trebuchet MS"/>
        <w:noProof/>
        <w:sz w:val="16"/>
        <w:szCs w:val="16"/>
        <w:bdr w:val="nil"/>
        <w:lang w:val="fr-CA"/>
      </w:rPr>
      <w:t>(Merville, C.-B., Connections Publishing, 1997), p. 7-14.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9" w:rsidRDefault="00C8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9F" w:rsidRDefault="00E63B9F">
      <w:r>
        <w:separator/>
      </w:r>
    </w:p>
  </w:footnote>
  <w:footnote w:type="continuationSeparator" w:id="0">
    <w:p w:rsidR="00E63B9F" w:rsidRDefault="00E6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9" w:rsidRDefault="00C84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58" w:rsidRPr="009B5D9E" w:rsidRDefault="00D2492A">
    <w:pPr>
      <w:pStyle w:val="Header"/>
      <w:tabs>
        <w:tab w:val="clear" w:pos="4320"/>
      </w:tabs>
      <w:rPr>
        <w:rFonts w:ascii="Trebuchet MS" w:hAnsi="Trebuchet MS"/>
        <w:b/>
        <w:noProof/>
        <w:lang w:val="en-CA"/>
      </w:rPr>
    </w:pPr>
    <w:r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ab/>
    </w:r>
    <w:r w:rsidR="00F37F2E"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>Document reproductible</w:t>
    </w:r>
    <w:r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9" w:rsidRDefault="00C84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F7A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C5F49AC"/>
    <w:multiLevelType w:val="singleLevel"/>
    <w:tmpl w:val="5882D4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C97248A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5050B1A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4" w15:restartNumberingAfterBreak="0">
    <w:nsid w:val="158B1B9B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5C73539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A196046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3C0F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32A750C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3874B80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64C1A92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6806C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FB"/>
    <w:rsid w:val="000C3B6E"/>
    <w:rsid w:val="00103245"/>
    <w:rsid w:val="00117ADD"/>
    <w:rsid w:val="00193FFB"/>
    <w:rsid w:val="001F6E93"/>
    <w:rsid w:val="00217C7B"/>
    <w:rsid w:val="00357413"/>
    <w:rsid w:val="004C1016"/>
    <w:rsid w:val="0068759E"/>
    <w:rsid w:val="00737F1C"/>
    <w:rsid w:val="007815F1"/>
    <w:rsid w:val="00803625"/>
    <w:rsid w:val="00A32658"/>
    <w:rsid w:val="00A8142E"/>
    <w:rsid w:val="00BE430E"/>
    <w:rsid w:val="00C84269"/>
    <w:rsid w:val="00D2065D"/>
    <w:rsid w:val="00D2492A"/>
    <w:rsid w:val="00E37561"/>
    <w:rsid w:val="00E63B9F"/>
    <w:rsid w:val="00F37F2E"/>
    <w:rsid w:val="00F50580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3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FF0FA3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0FA3"/>
    <w:pPr>
      <w:jc w:val="center"/>
    </w:pPr>
    <w:rPr>
      <w:sz w:val="36"/>
    </w:rPr>
  </w:style>
  <w:style w:type="paragraph" w:styleId="Header">
    <w:name w:val="header"/>
    <w:basedOn w:val="Normal"/>
    <w:semiHidden/>
    <w:rsid w:val="00FF0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F0FA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50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5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58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80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Constructing Student-generated Criteria for Quality</vt:lpstr>
      <vt:lpstr>Constructing Student-generated Criteria for Quality</vt:lpstr>
    </vt:vector>
  </TitlesOfParts>
  <Company>Government of Manitoba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Student-generated Criteria for Quality</dc:title>
  <dc:creator>Desktop Initiative Base v1.0</dc:creator>
  <cp:lastModifiedBy>Diffallah, Moufid (MET)</cp:lastModifiedBy>
  <cp:revision>2</cp:revision>
  <cp:lastPrinted>2017-05-16T14:48:00Z</cp:lastPrinted>
  <dcterms:created xsi:type="dcterms:W3CDTF">2018-07-18T19:36:00Z</dcterms:created>
  <dcterms:modified xsi:type="dcterms:W3CDTF">2018-07-18T19:36:00Z</dcterms:modified>
</cp:coreProperties>
</file>