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1B" w:rsidRDefault="0010731B" w:rsidP="00684A43">
      <w:pPr>
        <w:spacing w:after="0" w:line="240" w:lineRule="auto"/>
        <w:ind w:left="-426" w:right="-421"/>
        <w:jc w:val="center"/>
        <w:rPr>
          <w:rFonts w:cs="Calibri"/>
          <w:b/>
          <w:sz w:val="28"/>
          <w:szCs w:val="28"/>
          <w:lang w:val="fr-CA"/>
        </w:rPr>
      </w:pPr>
    </w:p>
    <w:p w:rsidR="00F408EC" w:rsidRPr="00684A43" w:rsidRDefault="00F408EC" w:rsidP="00684A43">
      <w:pPr>
        <w:spacing w:after="0" w:line="240" w:lineRule="auto"/>
        <w:ind w:left="-426" w:right="-421"/>
        <w:jc w:val="center"/>
        <w:rPr>
          <w:rFonts w:cs="Calibri"/>
          <w:b/>
          <w:sz w:val="28"/>
          <w:szCs w:val="28"/>
          <w:lang w:val="fr-CA"/>
        </w:rPr>
      </w:pPr>
      <w:r w:rsidRPr="00684A43">
        <w:rPr>
          <w:rFonts w:cs="Calibri"/>
          <w:b/>
          <w:sz w:val="28"/>
          <w:szCs w:val="28"/>
          <w:lang w:val="fr-CA"/>
        </w:rPr>
        <w:t>ANNEXE 5 : Contribution de Kirch</w:t>
      </w:r>
      <w:r w:rsidR="001801DB">
        <w:rPr>
          <w:rFonts w:cs="Calibri"/>
          <w:b/>
          <w:sz w:val="28"/>
          <w:szCs w:val="28"/>
          <w:lang w:val="fr-CA"/>
        </w:rPr>
        <w:t>h</w:t>
      </w:r>
      <w:r w:rsidRPr="00684A43">
        <w:rPr>
          <w:rFonts w:cs="Calibri"/>
          <w:b/>
          <w:sz w:val="28"/>
          <w:szCs w:val="28"/>
          <w:lang w:val="fr-CA"/>
        </w:rPr>
        <w:t>off</w:t>
      </w:r>
      <w:r w:rsidR="00F31B09" w:rsidRPr="00684A43">
        <w:rPr>
          <w:rFonts w:cs="Calibri"/>
          <w:b/>
          <w:sz w:val="28"/>
          <w:szCs w:val="28"/>
          <w:lang w:val="fr-CA"/>
        </w:rPr>
        <w:t xml:space="preserve"> – </w:t>
      </w:r>
      <w:r w:rsidRPr="00684A43">
        <w:rPr>
          <w:rFonts w:cs="Calibri"/>
          <w:b/>
          <w:sz w:val="28"/>
          <w:szCs w:val="28"/>
          <w:lang w:val="fr-CA"/>
        </w:rPr>
        <w:t xml:space="preserve">Renseignements pour l’enseignant </w:t>
      </w:r>
    </w:p>
    <w:p w:rsidR="00F408EC" w:rsidRDefault="00F408EC" w:rsidP="00524B08">
      <w:pPr>
        <w:pStyle w:val="Header"/>
        <w:tabs>
          <w:tab w:val="clear" w:pos="4320"/>
          <w:tab w:val="clear" w:pos="8640"/>
        </w:tabs>
        <w:rPr>
          <w:rFonts w:cstheme="minorHAnsi"/>
          <w:lang w:val="fr-FR"/>
        </w:rPr>
      </w:pPr>
    </w:p>
    <w:p w:rsidR="007B69B4" w:rsidRPr="00346021" w:rsidRDefault="007B69B4" w:rsidP="00524B08">
      <w:pPr>
        <w:pStyle w:val="Header"/>
        <w:tabs>
          <w:tab w:val="clear" w:pos="4320"/>
          <w:tab w:val="clear" w:pos="8640"/>
        </w:tabs>
        <w:rPr>
          <w:rFonts w:cstheme="minorHAnsi"/>
          <w:lang w:val="fr-FR"/>
        </w:rPr>
      </w:pPr>
      <w:r w:rsidRPr="00346021">
        <w:rPr>
          <w:rFonts w:cstheme="minorHAnsi"/>
          <w:lang w:val="fr-FR"/>
        </w:rPr>
        <w:t>Au cours de ses expériences, Ohm a observé que dans un circuit électrique</w:t>
      </w:r>
      <w:r w:rsidR="00F31B09">
        <w:rPr>
          <w:rFonts w:cstheme="minorHAnsi"/>
          <w:lang w:val="fr-FR"/>
        </w:rPr>
        <w:t xml:space="preserve"> </w:t>
      </w:r>
      <m:oMath>
        <m:r>
          <w:rPr>
            <w:rFonts w:ascii="Cambria Math" w:hAnsi="Cambria Math" w:cs="Calibri"/>
            <w:sz w:val="24"/>
            <w:szCs w:val="24"/>
            <w:lang w:val="fr-FR"/>
          </w:rPr>
          <m:t>I=</m:t>
        </m:r>
        <m:f>
          <m:fPr>
            <m:ctrlPr>
              <w:rPr>
                <w:rFonts w:ascii="Cambria Math" w:hAnsi="Cambria Math" w:cs="Calibri"/>
                <w:i/>
                <w:sz w:val="24"/>
                <w:szCs w:val="24"/>
                <w:lang w:val="fr-FR"/>
              </w:rPr>
            </m:ctrlPr>
          </m:fPr>
          <m:num>
            <m:r>
              <w:rPr>
                <w:rFonts w:ascii="Cambria Math" w:hAnsi="Cambria Math" w:cs="Calibri"/>
                <w:sz w:val="24"/>
                <w:szCs w:val="24"/>
                <w:lang w:val="fr-FR"/>
              </w:rPr>
              <m:t>a</m:t>
            </m:r>
          </m:num>
          <m:den>
            <m:r>
              <w:rPr>
                <w:rFonts w:ascii="Cambria Math" w:hAnsi="Cambria Math" w:cs="Calibri"/>
                <w:sz w:val="24"/>
                <w:szCs w:val="24"/>
                <w:lang w:val="fr-FR"/>
              </w:rPr>
              <m:t>R</m:t>
            </m:r>
          </m:den>
        </m:f>
      </m:oMath>
      <w:r w:rsidRPr="00346021">
        <w:rPr>
          <w:rFonts w:cstheme="minorHAnsi"/>
          <w:lang w:val="fr-FR"/>
        </w:rPr>
        <w:t xml:space="preserve">, où </w:t>
      </w:r>
      <m:oMath>
        <m:r>
          <w:rPr>
            <w:rFonts w:ascii="Cambria Math" w:hAnsi="Cambria Math" w:cs="Calibri"/>
            <w:lang w:val="fr-FR"/>
          </w:rPr>
          <m:t>a</m:t>
        </m:r>
      </m:oMath>
      <w:r w:rsidRPr="00346021">
        <w:rPr>
          <w:rFonts w:cstheme="minorHAnsi"/>
          <w:lang w:val="fr-FR"/>
        </w:rPr>
        <w:t>est une constante de proportionnalité. Par la suite, Joule a démontré que</w:t>
      </w:r>
      <w:r w:rsidR="00F31B09">
        <w:rPr>
          <w:rFonts w:cstheme="minorHAnsi"/>
          <w:lang w:val="fr-FR"/>
        </w:rPr>
        <w:t xml:space="preserve"> </w:t>
      </w:r>
      <m:oMath>
        <m:r>
          <w:rPr>
            <w:rFonts w:ascii="Cambria Math" w:hAnsi="Cambria Math" w:cs="Calibri"/>
            <w:lang w:val="fr-FR"/>
          </w:rPr>
          <m:t>P=</m:t>
        </m:r>
        <m:sSup>
          <m:sSupPr>
            <m:ctrlPr>
              <w:rPr>
                <w:rFonts w:ascii="Cambria Math" w:hAnsi="Cambria Math" w:cs="Calibri"/>
                <w:i/>
                <w:lang w:val="fr-FR"/>
              </w:rPr>
            </m:ctrlPr>
          </m:sSupPr>
          <m:e>
            <m:r>
              <w:rPr>
                <w:rFonts w:ascii="Cambria Math" w:hAnsi="Cambria Math" w:cs="Calibri"/>
                <w:lang w:val="fr-FR"/>
              </w:rPr>
              <m:t>I</m:t>
            </m:r>
          </m:e>
          <m:sup>
            <m:r>
              <w:rPr>
                <w:rFonts w:ascii="Cambria Math" w:hAnsi="Cambria Math" w:cs="Calibri"/>
                <w:lang w:val="fr-FR"/>
              </w:rPr>
              <m:t>2</m:t>
            </m:r>
          </m:sup>
        </m:sSup>
        <m:r>
          <w:rPr>
            <w:rFonts w:ascii="Cambria Math" w:hAnsi="Cambria Math" w:cs="Calibri"/>
            <w:lang w:val="fr-FR"/>
          </w:rPr>
          <m:t>R</m:t>
        </m:r>
      </m:oMath>
      <w:r w:rsidRPr="00346021">
        <w:rPr>
          <w:rFonts w:cstheme="minorHAnsi"/>
          <w:lang w:val="fr-FR"/>
        </w:rPr>
        <w:t>. Il s’agit dans les deux cas d’exemples de lois scientifiques formulées par induction à partir d’observations du comportement des circuits électriques. Les deux expériences portent en outre sur des charges en mouvement. Kirch</w:t>
      </w:r>
      <w:r w:rsidR="001801DB">
        <w:rPr>
          <w:rFonts w:cstheme="minorHAnsi"/>
          <w:lang w:val="fr-FR"/>
        </w:rPr>
        <w:t>h</w:t>
      </w:r>
      <w:r w:rsidRPr="00346021">
        <w:rPr>
          <w:rFonts w:cstheme="minorHAnsi"/>
          <w:lang w:val="fr-FR"/>
        </w:rPr>
        <w:t>off a pris comme point de départ des considérations énergétiques relatives aux charges électrostatiques pour démontrer ce qui suit.</w:t>
      </w:r>
    </w:p>
    <w:p w:rsidR="007B69B4" w:rsidRPr="00346021" w:rsidRDefault="007B69B4" w:rsidP="00524B08">
      <w:pPr>
        <w:pStyle w:val="Header"/>
        <w:tabs>
          <w:tab w:val="clear" w:pos="4320"/>
          <w:tab w:val="clear" w:pos="8640"/>
        </w:tabs>
        <w:rPr>
          <w:rFonts w:cstheme="minorHAnsi"/>
          <w:lang w:val="fr-FR"/>
        </w:rPr>
      </w:pPr>
    </w:p>
    <w:p w:rsidR="007B69B4" w:rsidRPr="00346021" w:rsidRDefault="007B69B4" w:rsidP="00524B08">
      <w:pPr>
        <w:pStyle w:val="Header"/>
        <w:tabs>
          <w:tab w:val="clear" w:pos="4320"/>
          <w:tab w:val="clear" w:pos="8640"/>
        </w:tabs>
        <w:rPr>
          <w:rFonts w:cstheme="minorHAnsi"/>
          <w:u w:val="single"/>
          <w:lang w:val="fr-FR"/>
        </w:rPr>
      </w:pPr>
      <w:r w:rsidRPr="00346021">
        <w:rPr>
          <w:rFonts w:cstheme="minorHAnsi"/>
          <w:u w:val="single"/>
          <w:lang w:val="fr-FR"/>
        </w:rPr>
        <w:t>Le potentiel électrique</w:t>
      </w:r>
    </w:p>
    <w:p w:rsidR="007B69B4" w:rsidRPr="00346021" w:rsidRDefault="007B69B4" w:rsidP="00524B08">
      <w:pPr>
        <w:spacing w:after="0" w:line="240" w:lineRule="auto"/>
        <w:rPr>
          <w:rFonts w:cstheme="minorHAnsi"/>
          <w:lang w:val="fr-FR"/>
        </w:rPr>
      </w:pPr>
    </w:p>
    <w:p w:rsidR="007B69B4" w:rsidRPr="00346021" w:rsidRDefault="007B69B4" w:rsidP="00524B08">
      <w:pPr>
        <w:spacing w:after="0" w:line="240" w:lineRule="auto"/>
        <w:rPr>
          <w:rFonts w:cstheme="minorHAnsi"/>
          <w:lang w:val="fr-FR"/>
        </w:rPr>
      </w:pPr>
      <w:r w:rsidRPr="00346021">
        <w:rPr>
          <w:rFonts w:cstheme="minorHAnsi"/>
          <w:lang w:val="fr-FR"/>
        </w:rPr>
        <w:t xml:space="preserve">Le potentiel électrique est l’énergie potentielle électrique </w:t>
      </w:r>
      <w:r w:rsidRPr="00346021">
        <w:rPr>
          <w:rFonts w:cstheme="minorHAnsi"/>
          <w:b/>
          <w:bCs/>
          <w:i/>
          <w:iCs/>
          <w:lang w:val="fr-FR"/>
        </w:rPr>
        <w:t>par unité de charge</w:t>
      </w:r>
    </w:p>
    <w:p w:rsidR="007B69B4" w:rsidRPr="00346021" w:rsidRDefault="007B69B4" w:rsidP="00524B08">
      <w:pPr>
        <w:spacing w:after="0" w:line="240" w:lineRule="auto"/>
        <w:rPr>
          <w:rFonts w:cstheme="minorHAnsi"/>
          <w:lang w:val="fr-FR"/>
        </w:rPr>
      </w:pPr>
    </w:p>
    <w:p w:rsidR="007B69B4" w:rsidRPr="00346021" w:rsidRDefault="00081B2A" w:rsidP="00524B08">
      <w:pPr>
        <w:spacing w:after="0" w:line="240" w:lineRule="auto"/>
        <w:rPr>
          <w:rFonts w:cstheme="minorHAnsi"/>
        </w:rPr>
      </w:pPr>
      <m:oMathPara>
        <m:oMathParaPr>
          <m:jc m:val="left"/>
        </m:oMathParaPr>
        <m:oMath>
          <m:r>
            <w:rPr>
              <w:rFonts w:ascii="Cambria Math" w:hAnsi="Cambria Math" w:cs="Calibri"/>
            </w:rPr>
            <m:t>V=</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E</m:t>
                  </m:r>
                </m:e>
                <m:sub>
                  <m:r>
                    <w:rPr>
                      <w:rFonts w:ascii="Cambria Math" w:hAnsi="Cambria Math" w:cs="Calibri"/>
                    </w:rPr>
                    <m:t>p</m:t>
                  </m:r>
                </m:sub>
              </m:sSub>
            </m:num>
            <m:den>
              <m:r>
                <w:rPr>
                  <w:rFonts w:ascii="Cambria Math" w:hAnsi="Cambria Math" w:cs="Calibri"/>
                </w:rPr>
                <m:t>q</m:t>
              </m:r>
            </m:den>
          </m:f>
        </m:oMath>
      </m:oMathPara>
    </w:p>
    <w:p w:rsidR="007B69B4" w:rsidRPr="00346021" w:rsidRDefault="007B69B4" w:rsidP="00524B08">
      <w:pPr>
        <w:spacing w:after="0" w:line="240" w:lineRule="auto"/>
        <w:rPr>
          <w:rFonts w:cstheme="minorHAnsi"/>
        </w:rPr>
      </w:pPr>
    </w:p>
    <w:p w:rsidR="007B69B4" w:rsidRPr="00346021" w:rsidRDefault="007B69B4" w:rsidP="00524B08">
      <w:pPr>
        <w:spacing w:after="0" w:line="240" w:lineRule="auto"/>
        <w:rPr>
          <w:rFonts w:cstheme="minorHAnsi"/>
        </w:rPr>
      </w:pPr>
      <w:r w:rsidRPr="00346021">
        <w:rPr>
          <w:rFonts w:cstheme="minorHAnsi"/>
        </w:rPr>
        <w:t xml:space="preserve">Par </w:t>
      </w:r>
      <w:r w:rsidRPr="00346021">
        <w:rPr>
          <w:rFonts w:cstheme="minorHAnsi"/>
          <w:lang w:val="fr-CA"/>
        </w:rPr>
        <w:t>conséquent</w:t>
      </w:r>
      <w:r w:rsidRPr="00346021">
        <w:rPr>
          <w:rFonts w:cstheme="minorHAnsi"/>
        </w:rPr>
        <w:t>,</w:t>
      </w:r>
    </w:p>
    <w:p w:rsidR="007B69B4" w:rsidRPr="00346021" w:rsidRDefault="007B69B4" w:rsidP="00524B08">
      <w:pPr>
        <w:spacing w:after="0" w:line="240" w:lineRule="auto"/>
        <w:rPr>
          <w:rFonts w:cstheme="minorHAnsi"/>
        </w:rPr>
      </w:pPr>
    </w:p>
    <w:p w:rsidR="007B69B4" w:rsidRPr="00346021" w:rsidRDefault="00C64A2A" w:rsidP="00524B08">
      <w:pPr>
        <w:spacing w:after="0" w:line="240" w:lineRule="auto"/>
        <w:rPr>
          <w:rFonts w:cstheme="minorHAns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p</m:t>
              </m:r>
            </m:sub>
          </m:sSub>
          <m:r>
            <w:rPr>
              <w:rFonts w:ascii="Cambria Math" w:hAnsi="Cambria Math" w:cs="Calibri"/>
            </w:rPr>
            <m:t>=qV</m:t>
          </m:r>
        </m:oMath>
      </m:oMathPara>
    </w:p>
    <w:p w:rsidR="007B69B4" w:rsidRPr="00346021" w:rsidRDefault="007B69B4" w:rsidP="00F31B09">
      <w:pPr>
        <w:spacing w:after="0" w:line="240" w:lineRule="auto"/>
        <w:jc w:val="both"/>
        <w:rPr>
          <w:rFonts w:cstheme="minorHAnsi"/>
        </w:rPr>
      </w:pPr>
    </w:p>
    <w:p w:rsidR="007B69B4" w:rsidRPr="00346021" w:rsidRDefault="007B69B4" w:rsidP="00524B08">
      <w:pPr>
        <w:spacing w:after="0" w:line="240" w:lineRule="auto"/>
        <w:rPr>
          <w:rFonts w:cstheme="minorHAnsi"/>
          <w:lang w:val="fr-FR"/>
        </w:rPr>
      </w:pPr>
      <w:r w:rsidRPr="00346021">
        <w:rPr>
          <w:rFonts w:cstheme="minorHAnsi"/>
          <w:lang w:val="fr-FR"/>
        </w:rPr>
        <w:t xml:space="preserve">Nous savons aussi que le travail effectué pour déplacer une charge dans un champ équivaut </w:t>
      </w:r>
      <w:r w:rsidR="00C00124">
        <w:rPr>
          <w:rFonts w:cstheme="minorHAnsi"/>
          <w:lang w:val="fr-FR"/>
        </w:rPr>
        <w:t>à la variation</w:t>
      </w:r>
      <w:r w:rsidRPr="00346021">
        <w:rPr>
          <w:rFonts w:cstheme="minorHAnsi"/>
          <w:lang w:val="fr-FR"/>
        </w:rPr>
        <w:t xml:space="preserve"> changement d’énergie.  </w:t>
      </w:r>
    </w:p>
    <w:p w:rsidR="007B69B4" w:rsidRPr="00346021" w:rsidRDefault="007B69B4" w:rsidP="00524B08">
      <w:pPr>
        <w:spacing w:after="0" w:line="240" w:lineRule="auto"/>
        <w:rPr>
          <w:rFonts w:cstheme="minorHAnsi"/>
          <w:lang w:val="fr-FR"/>
        </w:rPr>
      </w:pPr>
    </w:p>
    <w:p w:rsidR="007B69B4" w:rsidRPr="00346021" w:rsidRDefault="00081B2A" w:rsidP="00524B08">
      <w:pPr>
        <w:spacing w:after="0" w:line="240" w:lineRule="auto"/>
        <w:rPr>
          <w:rFonts w:cstheme="minorHAnsi"/>
        </w:rPr>
      </w:pPr>
      <m:oMathPara>
        <m:oMathParaPr>
          <m:jc m:val="left"/>
        </m:oMathParaPr>
        <m:oMath>
          <m:r>
            <w:rPr>
              <w:rFonts w:ascii="Cambria Math" w:hAnsi="Cambria Math" w:cs="Calibri"/>
            </w:rPr>
            <m:t>W=∆</m:t>
          </m:r>
          <m:sSub>
            <m:sSubPr>
              <m:ctrlPr>
                <w:rPr>
                  <w:rFonts w:ascii="Cambria Math" w:hAnsi="Cambria Math" w:cs="Calibri"/>
                  <w:i/>
                </w:rPr>
              </m:ctrlPr>
            </m:sSubPr>
            <m:e>
              <m:r>
                <w:rPr>
                  <w:rFonts w:ascii="Cambria Math" w:hAnsi="Cambria Math" w:cs="Calibri"/>
                </w:rPr>
                <m:t>E</m:t>
              </m:r>
            </m:e>
            <m:sub>
              <m:r>
                <w:rPr>
                  <w:rFonts w:ascii="Cambria Math" w:hAnsi="Cambria Math" w:cs="Calibri"/>
                </w:rPr>
                <m:t>p</m:t>
              </m:r>
            </m:sub>
          </m:sSub>
        </m:oMath>
      </m:oMathPara>
    </w:p>
    <w:p w:rsidR="007B69B4" w:rsidRPr="00346021" w:rsidRDefault="007B69B4" w:rsidP="00524B08">
      <w:pPr>
        <w:spacing w:after="0" w:line="240" w:lineRule="auto"/>
        <w:rPr>
          <w:rFonts w:cstheme="minorHAnsi"/>
        </w:rPr>
      </w:pPr>
    </w:p>
    <w:p w:rsidR="007B69B4" w:rsidRPr="00346021" w:rsidRDefault="007B69B4" w:rsidP="00524B08">
      <w:pPr>
        <w:spacing w:after="0" w:line="240" w:lineRule="auto"/>
        <w:rPr>
          <w:rFonts w:cstheme="minorHAnsi"/>
          <w:lang w:val="fr-FR"/>
        </w:rPr>
      </w:pPr>
      <w:r w:rsidRPr="00346021">
        <w:rPr>
          <w:rFonts w:cstheme="minorHAnsi"/>
          <w:lang w:val="fr-FR"/>
        </w:rPr>
        <w:t>Par conséquent, l</w:t>
      </w:r>
      <w:r w:rsidR="00C00124">
        <w:rPr>
          <w:rFonts w:cstheme="minorHAnsi"/>
          <w:lang w:val="fr-FR"/>
        </w:rPr>
        <w:t xml:space="preserve">a variation </w:t>
      </w:r>
      <w:r w:rsidRPr="00346021">
        <w:rPr>
          <w:rFonts w:cstheme="minorHAnsi"/>
          <w:lang w:val="fr-FR"/>
        </w:rPr>
        <w:t xml:space="preserve">d’énergie entre les points </w:t>
      </w:r>
      <w:r w:rsidRPr="00346021">
        <w:rPr>
          <w:rFonts w:cstheme="minorHAnsi"/>
          <w:i/>
          <w:iCs/>
          <w:lang w:val="fr-FR"/>
        </w:rPr>
        <w:t xml:space="preserve">a </w:t>
      </w:r>
      <w:r w:rsidRPr="00346021">
        <w:rPr>
          <w:rFonts w:cstheme="minorHAnsi"/>
          <w:lang w:val="fr-FR"/>
        </w:rPr>
        <w:t xml:space="preserve">et </w:t>
      </w:r>
      <w:r w:rsidRPr="00346021">
        <w:rPr>
          <w:rFonts w:cstheme="minorHAnsi"/>
          <w:i/>
          <w:iCs/>
          <w:lang w:val="fr-FR"/>
        </w:rPr>
        <w:t>b</w:t>
      </w:r>
      <w:r w:rsidRPr="00346021">
        <w:rPr>
          <w:rFonts w:cstheme="minorHAnsi"/>
          <w:lang w:val="fr-FR"/>
        </w:rPr>
        <w:t xml:space="preserve"> se calcule comme suit :</w:t>
      </w:r>
    </w:p>
    <w:p w:rsidR="007B69B4" w:rsidRPr="00346021" w:rsidRDefault="007B69B4" w:rsidP="00524B08">
      <w:pPr>
        <w:spacing w:after="0" w:line="240" w:lineRule="auto"/>
        <w:rPr>
          <w:rFonts w:cstheme="minorHAnsi"/>
          <w:lang w:val="fr-FR"/>
        </w:rPr>
      </w:pPr>
    </w:p>
    <w:p w:rsidR="007B69B4" w:rsidRPr="00346021" w:rsidRDefault="00C64A2A" w:rsidP="00524B08">
      <w:pPr>
        <w:spacing w:after="0" w:line="240" w:lineRule="auto"/>
        <w:rPr>
          <w:rFonts w:cstheme="minorHAnsi"/>
        </w:rPr>
      </w:pPr>
      <m:oMathPara>
        <m:oMathParaPr>
          <m:jc m:val="left"/>
        </m:oMathParaPr>
        <m:oMath>
          <m:sSub>
            <m:sSubPr>
              <m:ctrlPr>
                <w:rPr>
                  <w:rFonts w:ascii="Cambria Math" w:hAnsi="Cambria Math" w:cs="Calibri"/>
                  <w:i/>
                </w:rPr>
              </m:ctrlPr>
            </m:sSubPr>
            <m:e>
              <m:r>
                <w:rPr>
                  <w:rFonts w:ascii="Cambria Math" w:hAnsi="Cambria Math" w:cs="Calibri"/>
                </w:rPr>
                <m:t>E</m:t>
              </m:r>
            </m:e>
            <m:sub>
              <m:r>
                <w:rPr>
                  <w:rFonts w:ascii="Cambria Math" w:hAnsi="Cambria Math" w:cs="Calibri"/>
                </w:rPr>
                <m:t>b</m:t>
              </m:r>
            </m:sub>
          </m:sSub>
          <m:r>
            <w:rPr>
              <w:rFonts w:ascii="Cambria Math" w:hAnsi="Cambria Math" w:cs="Calibri"/>
            </w:rPr>
            <m:t>-</m:t>
          </m:r>
          <m:sSub>
            <m:sSubPr>
              <m:ctrlPr>
                <w:rPr>
                  <w:rFonts w:ascii="Cambria Math" w:hAnsi="Cambria Math" w:cs="Calibri"/>
                  <w:i/>
                </w:rPr>
              </m:ctrlPr>
            </m:sSubPr>
            <m:e>
              <m:r>
                <w:rPr>
                  <w:rFonts w:ascii="Cambria Math" w:hAnsi="Cambria Math" w:cs="Calibri"/>
                </w:rPr>
                <m:t>E</m:t>
              </m:r>
            </m:e>
            <m:sub>
              <m:r>
                <w:rPr>
                  <w:rFonts w:ascii="Cambria Math" w:hAnsi="Cambria Math" w:cs="Calibri"/>
                </w:rPr>
                <m:t>a</m:t>
              </m:r>
            </m:sub>
          </m:sSub>
          <m:r>
            <w:rPr>
              <w:rFonts w:ascii="Cambria Math" w:hAnsi="Cambria Math" w:cs="Calibri"/>
            </w:rPr>
            <m:t>=q</m:t>
          </m:r>
          <m:sSub>
            <m:sSubPr>
              <m:ctrlPr>
                <w:rPr>
                  <w:rFonts w:ascii="Cambria Math" w:hAnsi="Cambria Math" w:cs="Calibri"/>
                  <w:i/>
                </w:rPr>
              </m:ctrlPr>
            </m:sSubPr>
            <m:e>
              <m:r>
                <w:rPr>
                  <w:rFonts w:ascii="Cambria Math" w:hAnsi="Cambria Math" w:cs="Calibri"/>
                </w:rPr>
                <m:t>V</m:t>
              </m:r>
            </m:e>
            <m:sub>
              <m:r>
                <w:rPr>
                  <w:rFonts w:ascii="Cambria Math" w:hAnsi="Cambria Math" w:cs="Calibri"/>
                </w:rPr>
                <m:t>b</m:t>
              </m:r>
            </m:sub>
          </m:sSub>
          <m:r>
            <w:rPr>
              <w:rFonts w:ascii="Cambria Math" w:hAnsi="Cambria Math" w:cs="Calibri"/>
            </w:rPr>
            <m:t>-q</m:t>
          </m:r>
          <m:sSub>
            <m:sSubPr>
              <m:ctrlPr>
                <w:rPr>
                  <w:rFonts w:ascii="Cambria Math" w:hAnsi="Cambria Math" w:cs="Calibri"/>
                  <w:i/>
                </w:rPr>
              </m:ctrlPr>
            </m:sSubPr>
            <m:e>
              <m:r>
                <w:rPr>
                  <w:rFonts w:ascii="Cambria Math" w:hAnsi="Cambria Math" w:cs="Calibri"/>
                </w:rPr>
                <m:t>V</m:t>
              </m:r>
            </m:e>
            <m:sub>
              <m:r>
                <w:rPr>
                  <w:rFonts w:ascii="Cambria Math" w:hAnsi="Cambria Math" w:cs="Calibri"/>
                </w:rPr>
                <m:t>a</m:t>
              </m:r>
            </m:sub>
          </m:sSub>
        </m:oMath>
      </m:oMathPara>
    </w:p>
    <w:p w:rsidR="007B69B4" w:rsidRPr="00346021" w:rsidRDefault="007B69B4" w:rsidP="00524B08">
      <w:pPr>
        <w:spacing w:after="0" w:line="240" w:lineRule="auto"/>
        <w:rPr>
          <w:rFonts w:cstheme="minorHAnsi"/>
        </w:rPr>
      </w:pPr>
    </w:p>
    <w:p w:rsidR="007B69B4" w:rsidRPr="00346021" w:rsidRDefault="007B69B4" w:rsidP="00524B08">
      <w:pPr>
        <w:spacing w:after="0" w:line="240" w:lineRule="auto"/>
        <w:rPr>
          <w:rFonts w:cstheme="minorHAnsi"/>
          <w:lang w:val="fr-CA"/>
        </w:rPr>
      </w:pPr>
      <w:r w:rsidRPr="00346021">
        <w:rPr>
          <w:rFonts w:cstheme="minorHAnsi"/>
          <w:lang w:val="fr-CA"/>
        </w:rPr>
        <w:t>ou</w:t>
      </w:r>
    </w:p>
    <w:p w:rsidR="007B69B4" w:rsidRPr="00346021" w:rsidRDefault="007B69B4" w:rsidP="00524B08">
      <w:pPr>
        <w:spacing w:after="0" w:line="240" w:lineRule="auto"/>
        <w:rPr>
          <w:rFonts w:cstheme="minorHAnsi"/>
        </w:rPr>
      </w:pPr>
    </w:p>
    <w:p w:rsidR="007B69B4" w:rsidRDefault="00081B2A" w:rsidP="00F31B09">
      <w:pPr>
        <w:spacing w:after="120" w:line="240" w:lineRule="auto"/>
        <w:rPr>
          <w:rFonts w:eastAsiaTheme="minorEastAsia" w:cstheme="minorHAns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E</m:t>
              </m:r>
            </m:e>
            <m:sub>
              <m:r>
                <w:rPr>
                  <w:rFonts w:ascii="Cambria Math" w:hAnsi="Cambria Math" w:cs="Calibri"/>
                </w:rPr>
                <m:t>p</m:t>
              </m:r>
            </m:sub>
          </m:sSub>
          <m:r>
            <w:rPr>
              <w:rFonts w:ascii="Cambria Math" w:hAnsi="Cambria Math" w:cs="Calibri"/>
            </w:rPr>
            <m:t>=q</m:t>
          </m:r>
          <m:sSub>
            <m:sSubPr>
              <m:ctrlPr>
                <w:rPr>
                  <w:rFonts w:ascii="Cambria Math" w:hAnsi="Cambria Math" w:cs="Calibri"/>
                  <w:i/>
                </w:rPr>
              </m:ctrlPr>
            </m:sSubPr>
            <m:e>
              <m:r>
                <w:rPr>
                  <w:rFonts w:ascii="Cambria Math" w:hAnsi="Cambria Math" w:cs="Calibri"/>
                </w:rPr>
                <m:t>V</m:t>
              </m:r>
            </m:e>
            <m:sub>
              <m:r>
                <w:rPr>
                  <w:rFonts w:ascii="Cambria Math" w:hAnsi="Cambria Math" w:cs="Calibri"/>
                </w:rPr>
                <m:t>b</m:t>
              </m:r>
            </m:sub>
          </m:sSub>
          <m:r>
            <w:rPr>
              <w:rFonts w:ascii="Cambria Math" w:hAnsi="Cambria Math" w:cs="Calibri"/>
            </w:rPr>
            <m:t>-q</m:t>
          </m:r>
          <m:sSub>
            <m:sSubPr>
              <m:ctrlPr>
                <w:rPr>
                  <w:rFonts w:ascii="Cambria Math" w:hAnsi="Cambria Math" w:cs="Calibri"/>
                  <w:i/>
                </w:rPr>
              </m:ctrlPr>
            </m:sSubPr>
            <m:e>
              <m:r>
                <w:rPr>
                  <w:rFonts w:ascii="Cambria Math" w:hAnsi="Cambria Math" w:cs="Calibri"/>
                </w:rPr>
                <m:t>V</m:t>
              </m:r>
            </m:e>
            <m:sub>
              <m:r>
                <w:rPr>
                  <w:rFonts w:ascii="Cambria Math" w:hAnsi="Cambria Math" w:cs="Calibri"/>
                </w:rPr>
                <m:t>a</m:t>
              </m:r>
            </m:sub>
          </m:sSub>
        </m:oMath>
      </m:oMathPara>
    </w:p>
    <w:p w:rsidR="00F31B09" w:rsidRDefault="00081B2A" w:rsidP="00F31B09">
      <w:pPr>
        <w:spacing w:after="120" w:line="240" w:lineRule="auto"/>
        <w:rPr>
          <w:rFonts w:eastAsiaTheme="minorEastAsia" w:cstheme="minorHAns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E</m:t>
              </m:r>
            </m:e>
            <m:sub>
              <m:r>
                <w:rPr>
                  <w:rFonts w:ascii="Cambria Math" w:hAnsi="Cambria Math" w:cs="Calibri"/>
                </w:rPr>
                <m:t>p</m:t>
              </m:r>
            </m:sub>
          </m:sSub>
          <m:r>
            <w:rPr>
              <w:rFonts w:ascii="Cambria Math" w:hAnsi="Cambria Math" w:cs="Calibri"/>
            </w:rPr>
            <m:t>=q</m:t>
          </m:r>
          <m:d>
            <m:dPr>
              <m:ctrlPr>
                <w:rPr>
                  <w:rFonts w:ascii="Cambria Math" w:hAnsi="Cambria Math" w:cs="Calibri"/>
                  <w:i/>
                </w:rPr>
              </m:ctrlPr>
            </m:dPr>
            <m:e>
              <m:sSub>
                <m:sSubPr>
                  <m:ctrlPr>
                    <w:rPr>
                      <w:rFonts w:ascii="Cambria Math" w:hAnsi="Cambria Math" w:cs="Calibri"/>
                      <w:i/>
                    </w:rPr>
                  </m:ctrlPr>
                </m:sSubPr>
                <m:e>
                  <m:r>
                    <w:rPr>
                      <w:rFonts w:ascii="Cambria Math" w:hAnsi="Cambria Math" w:cs="Calibri"/>
                    </w:rPr>
                    <m:t>V</m:t>
                  </m:r>
                </m:e>
                <m:sub>
                  <m:r>
                    <w:rPr>
                      <w:rFonts w:ascii="Cambria Math" w:hAnsi="Cambria Math" w:cs="Calibri"/>
                    </w:rPr>
                    <m:t>b</m:t>
                  </m:r>
                </m:sub>
              </m:sSub>
              <m:r>
                <w:rPr>
                  <w:rFonts w:ascii="Cambria Math" w:hAnsi="Cambria Math" w:cs="Calibri"/>
                </w:rPr>
                <m:t>-</m:t>
              </m:r>
              <m:sSub>
                <m:sSubPr>
                  <m:ctrlPr>
                    <w:rPr>
                      <w:rFonts w:ascii="Cambria Math" w:hAnsi="Cambria Math" w:cs="Calibri"/>
                      <w:i/>
                    </w:rPr>
                  </m:ctrlPr>
                </m:sSubPr>
                <m:e>
                  <m:r>
                    <w:rPr>
                      <w:rFonts w:ascii="Cambria Math" w:hAnsi="Cambria Math" w:cs="Calibri"/>
                    </w:rPr>
                    <m:t>V</m:t>
                  </m:r>
                </m:e>
                <m:sub>
                  <m:r>
                    <w:rPr>
                      <w:rFonts w:ascii="Cambria Math" w:hAnsi="Cambria Math" w:cs="Calibri"/>
                    </w:rPr>
                    <m:t>a</m:t>
                  </m:r>
                </m:sub>
              </m:sSub>
            </m:e>
          </m:d>
        </m:oMath>
      </m:oMathPara>
    </w:p>
    <w:p w:rsidR="00F31B09" w:rsidRDefault="00081B2A" w:rsidP="00524B08">
      <w:pPr>
        <w:spacing w:after="0" w:line="240" w:lineRule="auto"/>
        <w:rPr>
          <w:rFonts w:eastAsiaTheme="minorEastAsia" w:cstheme="minorHAnsi"/>
        </w:rPr>
      </w:pPr>
      <m:oMathPara>
        <m:oMathParaPr>
          <m:jc m:val="left"/>
        </m:oMathParaPr>
        <m:oMath>
          <m:r>
            <w:rPr>
              <w:rFonts w:ascii="Cambria Math" w:hAnsi="Cambria Math" w:cs="Calibri"/>
            </w:rPr>
            <m:t>∆</m:t>
          </m:r>
          <m:sSub>
            <m:sSubPr>
              <m:ctrlPr>
                <w:rPr>
                  <w:rFonts w:ascii="Cambria Math" w:hAnsi="Cambria Math" w:cs="Calibri"/>
                  <w:i/>
                </w:rPr>
              </m:ctrlPr>
            </m:sSubPr>
            <m:e>
              <m:r>
                <w:rPr>
                  <w:rFonts w:ascii="Cambria Math" w:hAnsi="Cambria Math" w:cs="Calibri"/>
                </w:rPr>
                <m:t>E</m:t>
              </m:r>
            </m:e>
            <m:sub>
              <m:r>
                <w:rPr>
                  <w:rFonts w:ascii="Cambria Math" w:hAnsi="Cambria Math" w:cs="Calibri"/>
                </w:rPr>
                <m:t>p</m:t>
              </m:r>
            </m:sub>
          </m:sSub>
          <m:r>
            <w:rPr>
              <w:rFonts w:ascii="Cambria Math" w:hAnsi="Cambria Math" w:cs="Calibri"/>
            </w:rPr>
            <m:t>=q∆V</m:t>
          </m:r>
        </m:oMath>
      </m:oMathPara>
    </w:p>
    <w:p w:rsidR="00F31B09" w:rsidRDefault="00F31B09" w:rsidP="00524B08">
      <w:pPr>
        <w:spacing w:after="0" w:line="240" w:lineRule="auto"/>
        <w:rPr>
          <w:rFonts w:eastAsiaTheme="minorEastAsia" w:cstheme="minorHAnsi"/>
        </w:rPr>
      </w:pPr>
    </w:p>
    <w:p w:rsidR="00F31B09" w:rsidRPr="00346021" w:rsidRDefault="00F31B09" w:rsidP="00F31B09">
      <w:pPr>
        <w:spacing w:after="0" w:line="240" w:lineRule="auto"/>
        <w:rPr>
          <w:rFonts w:cstheme="minorHAnsi"/>
          <w:lang w:val="fr-FR"/>
        </w:rPr>
      </w:pPr>
      <w:r w:rsidRPr="00346021">
        <w:rPr>
          <w:rFonts w:cstheme="minorHAnsi"/>
          <w:bCs/>
          <w:kern w:val="32"/>
          <w:lang w:val="fr-CA"/>
        </w:rPr>
        <w:t>o</w:t>
      </w:r>
      <w:r w:rsidRPr="00346021">
        <w:rPr>
          <w:rFonts w:cstheme="minorHAnsi"/>
          <w:lang w:val="fr-CA"/>
        </w:rPr>
        <w:t xml:space="preserve">ù </w:t>
      </w:r>
      <m:oMath>
        <m:r>
          <m:rPr>
            <m:sty m:val="p"/>
          </m:rPr>
          <w:rPr>
            <w:rFonts w:ascii="Cambria Math" w:hAnsi="Cambria Math" w:cs="Calibri"/>
            <w:lang w:val="fr-CA"/>
          </w:rPr>
          <m:t>Δ</m:t>
        </m:r>
        <m:r>
          <w:rPr>
            <w:rFonts w:ascii="Cambria Math" w:hAnsi="Cambria Math" w:cs="Calibri"/>
            <w:lang w:val="fr-CA"/>
          </w:rPr>
          <m:t>V</m:t>
        </m:r>
      </m:oMath>
      <w:r w:rsidRPr="00346021">
        <w:rPr>
          <w:rFonts w:cstheme="minorHAnsi"/>
          <w:lang w:val="fr-CA"/>
        </w:rPr>
        <w:t xml:space="preserve"> s’appelle </w:t>
      </w:r>
      <w:r w:rsidRPr="00A27D56">
        <w:rPr>
          <w:rFonts w:cstheme="minorHAnsi"/>
          <w:b/>
          <w:i/>
          <w:lang w:val="fr-CA"/>
        </w:rPr>
        <w:t>différence de potentiel électrique</w:t>
      </w:r>
      <w:r w:rsidRPr="00346021">
        <w:rPr>
          <w:rFonts w:cstheme="minorHAnsi"/>
          <w:lang w:val="fr-CA"/>
        </w:rPr>
        <w:t xml:space="preserve">. </w:t>
      </w:r>
      <w:r w:rsidRPr="00346021">
        <w:rPr>
          <w:rFonts w:cstheme="minorHAnsi"/>
          <w:lang w:val="fr-FR"/>
        </w:rPr>
        <w:t xml:space="preserve">Comme il n’est question ici que de changements énergétiques, il s’agit du terme le plus important. En divisant les deux côtés de l’équation par la variable </w:t>
      </w:r>
      <w:r w:rsidRPr="00346021">
        <w:rPr>
          <w:rFonts w:cstheme="minorHAnsi"/>
          <w:i/>
          <w:iCs/>
          <w:lang w:val="fr-FR"/>
        </w:rPr>
        <w:t>temps</w:t>
      </w:r>
      <w:r w:rsidRPr="00346021">
        <w:rPr>
          <w:rFonts w:cstheme="minorHAnsi"/>
          <w:lang w:val="fr-FR"/>
        </w:rPr>
        <w:t>, nous obtenons ce qui suit :</w:t>
      </w:r>
    </w:p>
    <w:p w:rsidR="00F31B09" w:rsidRPr="00D07EAB" w:rsidRDefault="00F31B09" w:rsidP="00524B08">
      <w:pPr>
        <w:spacing w:after="0" w:line="240" w:lineRule="auto"/>
        <w:rPr>
          <w:rFonts w:cstheme="minorHAnsi"/>
          <w:lang w:val="fr-CA"/>
        </w:rPr>
      </w:pPr>
    </w:p>
    <w:p w:rsidR="00346021" w:rsidRDefault="00346021" w:rsidP="00524B08">
      <w:pPr>
        <w:spacing w:after="0" w:line="240" w:lineRule="auto"/>
        <w:rPr>
          <w:rFonts w:cstheme="minorHAnsi"/>
          <w:bCs/>
          <w:kern w:val="32"/>
          <w:lang w:val="fr-CA"/>
        </w:rPr>
      </w:pPr>
    </w:p>
    <w:p w:rsidR="00346021" w:rsidRDefault="00346021" w:rsidP="00524B08">
      <w:pPr>
        <w:spacing w:after="0" w:line="240" w:lineRule="auto"/>
        <w:rPr>
          <w:rFonts w:cstheme="minorHAnsi"/>
          <w:bCs/>
          <w:kern w:val="32"/>
          <w:lang w:val="fr-CA"/>
        </w:rPr>
      </w:pPr>
    </w:p>
    <w:p w:rsidR="00F31B09" w:rsidRDefault="00F31B09" w:rsidP="00524B08">
      <w:pPr>
        <w:spacing w:after="0" w:line="240" w:lineRule="auto"/>
        <w:rPr>
          <w:rFonts w:cstheme="minorHAnsi"/>
          <w:bCs/>
          <w:kern w:val="32"/>
          <w:lang w:val="fr-CA"/>
        </w:rPr>
      </w:pPr>
    </w:p>
    <w:p w:rsidR="00F31B09" w:rsidRDefault="00C64A2A" w:rsidP="00524B08">
      <w:pPr>
        <w:spacing w:after="0" w:line="240" w:lineRule="auto"/>
        <w:rPr>
          <w:rFonts w:cstheme="minorHAnsi"/>
          <w:bCs/>
          <w:kern w:val="32"/>
          <w:lang w:val="fr-CA"/>
        </w:rPr>
      </w:pPr>
      <w:r>
        <w:rPr>
          <w:rFonts w:cstheme="minorHAnsi"/>
          <w:bCs/>
          <w:noProof/>
          <w:kern w:val="32"/>
          <w:lang w:val="fr-CA" w:eastAsia="fr-CA"/>
        </w:rPr>
        <w:pict>
          <v:shapetype id="_x0000_t202" coordsize="21600,21600" o:spt="202" path="m,l,21600r21600,l21600,xe">
            <v:stroke joinstyle="miter"/>
            <v:path gradientshapeok="t" o:connecttype="rect"/>
          </v:shapetype>
          <v:shape id="_x0000_s22267" type="#_x0000_t202" style="position:absolute;margin-left:418.1pt;margin-top:25.75pt;width:62.05pt;height:23.75pt;z-index:251986944" filled="f" stroked="f">
            <v:textbox>
              <w:txbxContent>
                <w:p w:rsidR="001801DB" w:rsidRPr="006C41D8" w:rsidRDefault="001801DB" w:rsidP="00C00124">
                  <w:pPr>
                    <w:jc w:val="right"/>
                    <w:rPr>
                      <w:sz w:val="20"/>
                      <w:lang w:val="fr-CA"/>
                    </w:rPr>
                  </w:pPr>
                  <w:r w:rsidRPr="006C41D8">
                    <w:rPr>
                      <w:sz w:val="20"/>
                      <w:lang w:val="fr-CA"/>
                    </w:rPr>
                    <w:t xml:space="preserve">Bloc </w:t>
                  </w:r>
                  <w:r>
                    <w:rPr>
                      <w:sz w:val="20"/>
                      <w:lang w:val="fr-CA"/>
                    </w:rPr>
                    <w:t>B</w:t>
                  </w:r>
                </w:p>
              </w:txbxContent>
            </v:textbox>
          </v:shape>
        </w:pict>
      </w:r>
    </w:p>
    <w:p w:rsidR="00837EC8" w:rsidRDefault="00837EC8" w:rsidP="00524B08">
      <w:pPr>
        <w:spacing w:after="0" w:line="240" w:lineRule="auto"/>
        <w:jc w:val="right"/>
        <w:rPr>
          <w:b/>
          <w:lang w:val="fr-CA"/>
        </w:rPr>
      </w:pPr>
    </w:p>
    <w:p w:rsidR="00520FD1" w:rsidRDefault="00520FD1" w:rsidP="00524B08">
      <w:pPr>
        <w:spacing w:after="0" w:line="240" w:lineRule="auto"/>
        <w:jc w:val="right"/>
        <w:rPr>
          <w:b/>
          <w:lang w:val="fr-CA"/>
        </w:rPr>
      </w:pPr>
    </w:p>
    <w:p w:rsidR="00520FD1" w:rsidRDefault="00520FD1" w:rsidP="00524B08">
      <w:pPr>
        <w:spacing w:after="0" w:line="240" w:lineRule="auto"/>
        <w:jc w:val="right"/>
        <w:rPr>
          <w:b/>
          <w:lang w:val="fr-CA"/>
        </w:rPr>
      </w:pPr>
    </w:p>
    <w:p w:rsidR="00837EC8" w:rsidRPr="00684A43" w:rsidRDefault="00837EC8" w:rsidP="00524B08">
      <w:pPr>
        <w:pBdr>
          <w:bottom w:val="single" w:sz="4" w:space="1" w:color="auto"/>
        </w:pBdr>
        <w:spacing w:after="0" w:line="240" w:lineRule="auto"/>
        <w:ind w:left="-284" w:right="-279" w:firstLine="284"/>
        <w:jc w:val="right"/>
        <w:rPr>
          <w:b/>
          <w:sz w:val="24"/>
          <w:szCs w:val="24"/>
          <w:lang w:val="fr-CA"/>
        </w:rPr>
      </w:pPr>
      <w:r w:rsidRPr="00684A43">
        <w:rPr>
          <w:b/>
          <w:sz w:val="24"/>
          <w:szCs w:val="24"/>
          <w:lang w:val="fr-CA"/>
        </w:rPr>
        <w:t>ANNEXE 5: Contribution de Kirch</w:t>
      </w:r>
      <w:r w:rsidR="001801DB">
        <w:rPr>
          <w:b/>
          <w:sz w:val="24"/>
          <w:szCs w:val="24"/>
          <w:lang w:val="fr-CA"/>
        </w:rPr>
        <w:t>h</w:t>
      </w:r>
      <w:r w:rsidRPr="00684A43">
        <w:rPr>
          <w:b/>
          <w:sz w:val="24"/>
          <w:szCs w:val="24"/>
          <w:lang w:val="fr-CA"/>
        </w:rPr>
        <w:t>off – Renseignements pour l’enseignant (suite)</w:t>
      </w:r>
    </w:p>
    <w:p w:rsidR="00346021" w:rsidRDefault="00346021" w:rsidP="00524B08">
      <w:pPr>
        <w:spacing w:after="0" w:line="240" w:lineRule="auto"/>
        <w:rPr>
          <w:rFonts w:cstheme="minorHAnsi"/>
          <w:bCs/>
          <w:kern w:val="32"/>
          <w:lang w:val="fr-CA"/>
        </w:rPr>
      </w:pPr>
    </w:p>
    <w:p w:rsidR="007B69B4" w:rsidRDefault="00C64A2A" w:rsidP="00F31B09">
      <w:pPr>
        <w:spacing w:after="120" w:line="240" w:lineRule="auto"/>
        <w:rPr>
          <w:rFonts w:eastAsiaTheme="minorEastAsia" w:cstheme="minorHAnsi"/>
          <w:lang w:val="fr-FR"/>
        </w:rPr>
      </w:pPr>
      <m:oMathPara>
        <m:oMathParaPr>
          <m:jc m:val="left"/>
        </m:oMathParaPr>
        <m:oMath>
          <m:f>
            <m:fPr>
              <m:ctrlPr>
                <w:rPr>
                  <w:rFonts w:ascii="Cambria Math" w:hAnsi="Cambria Math" w:cs="Calibri"/>
                  <w:i/>
                  <w:lang w:val="fr-FR"/>
                </w:rPr>
              </m:ctrlPr>
            </m:fPr>
            <m:num>
              <m:r>
                <w:rPr>
                  <w:rFonts w:ascii="Cambria Math" w:hAnsi="Cambria Math" w:cs="Calibri"/>
                  <w:lang w:val="fr-FR"/>
                </w:rPr>
                <m:t>∆</m:t>
              </m:r>
              <m:sSub>
                <m:sSubPr>
                  <m:ctrlPr>
                    <w:rPr>
                      <w:rFonts w:ascii="Cambria Math" w:hAnsi="Cambria Math" w:cs="Calibri"/>
                      <w:i/>
                      <w:lang w:val="fr-FR"/>
                    </w:rPr>
                  </m:ctrlPr>
                </m:sSubPr>
                <m:e>
                  <m:r>
                    <w:rPr>
                      <w:rFonts w:ascii="Cambria Math" w:hAnsi="Cambria Math" w:cs="Calibri"/>
                      <w:lang w:val="fr-FR"/>
                    </w:rPr>
                    <m:t>E</m:t>
                  </m:r>
                </m:e>
                <m:sub>
                  <m:r>
                    <w:rPr>
                      <w:rFonts w:ascii="Cambria Math" w:hAnsi="Cambria Math" w:cs="Calibri"/>
                      <w:lang w:val="fr-FR"/>
                    </w:rPr>
                    <m:t>p</m:t>
                  </m:r>
                </m:sub>
              </m:sSub>
            </m:num>
            <m:den>
              <m:r>
                <w:rPr>
                  <w:rFonts w:ascii="Cambria Math" w:hAnsi="Cambria Math" w:cs="Calibri"/>
                  <w:lang w:val="fr-FR"/>
                </w:rPr>
                <m:t>t</m:t>
              </m:r>
            </m:den>
          </m:f>
          <m:r>
            <w:rPr>
              <w:rFonts w:ascii="Cambria Math" w:hAnsi="Cambria Math" w:cs="Calibri"/>
              <w:lang w:val="fr-FR"/>
            </w:rPr>
            <m:t>=</m:t>
          </m:r>
          <m:f>
            <m:fPr>
              <m:ctrlPr>
                <w:rPr>
                  <w:rFonts w:ascii="Cambria Math" w:hAnsi="Cambria Math" w:cs="Calibri"/>
                  <w:i/>
                  <w:lang w:val="fr-FR"/>
                </w:rPr>
              </m:ctrlPr>
            </m:fPr>
            <m:num>
              <m:r>
                <w:rPr>
                  <w:rFonts w:ascii="Cambria Math" w:hAnsi="Cambria Math" w:cs="Calibri"/>
                  <w:lang w:val="fr-FR"/>
                </w:rPr>
                <m:t>q</m:t>
              </m:r>
            </m:num>
            <m:den>
              <m:r>
                <w:rPr>
                  <w:rFonts w:ascii="Cambria Math" w:hAnsi="Cambria Math" w:cs="Calibri"/>
                  <w:lang w:val="fr-FR"/>
                </w:rPr>
                <m:t>t</m:t>
              </m:r>
            </m:den>
          </m:f>
          <m:r>
            <w:rPr>
              <w:rFonts w:ascii="Cambria Math" w:hAnsi="Cambria Math" w:cs="Calibri"/>
              <w:lang w:val="fr-FR"/>
            </w:rPr>
            <m:t>∆V</m:t>
          </m:r>
        </m:oMath>
      </m:oMathPara>
    </w:p>
    <w:p w:rsidR="00F31B09" w:rsidRPr="00346021" w:rsidRDefault="00081B2A" w:rsidP="00524B08">
      <w:pPr>
        <w:spacing w:after="0" w:line="240" w:lineRule="auto"/>
        <w:rPr>
          <w:rFonts w:cstheme="minorHAnsi"/>
          <w:lang w:val="fr-FR"/>
        </w:rPr>
      </w:pPr>
      <m:oMathPara>
        <m:oMathParaPr>
          <m:jc m:val="left"/>
        </m:oMathParaPr>
        <m:oMath>
          <m:r>
            <w:rPr>
              <w:rFonts w:ascii="Cambria Math" w:hAnsi="Cambria Math" w:cs="Calibri"/>
              <w:lang w:val="fr-FR"/>
            </w:rPr>
            <m:t>P=I∆V</m:t>
          </m:r>
        </m:oMath>
      </m:oMathPara>
    </w:p>
    <w:p w:rsidR="007B69B4" w:rsidRPr="00346021" w:rsidRDefault="007B69B4" w:rsidP="00524B08">
      <w:pPr>
        <w:pStyle w:val="Header"/>
        <w:tabs>
          <w:tab w:val="clear" w:pos="4320"/>
          <w:tab w:val="clear" w:pos="8640"/>
        </w:tabs>
        <w:rPr>
          <w:rFonts w:cstheme="minorHAnsi"/>
        </w:rPr>
      </w:pPr>
    </w:p>
    <w:p w:rsidR="007B69B4" w:rsidRPr="00346021" w:rsidRDefault="007B69B4" w:rsidP="00524B08">
      <w:pPr>
        <w:pStyle w:val="Header"/>
        <w:tabs>
          <w:tab w:val="clear" w:pos="4320"/>
          <w:tab w:val="clear" w:pos="8640"/>
        </w:tabs>
        <w:rPr>
          <w:rFonts w:cstheme="minorHAnsi"/>
          <w:lang w:val="fr-FR"/>
        </w:rPr>
      </w:pPr>
      <w:r w:rsidRPr="00346021">
        <w:rPr>
          <w:rFonts w:cstheme="minorHAnsi"/>
          <w:lang w:val="fr-FR"/>
        </w:rPr>
        <w:t xml:space="preserve">Ce qui signifie que la puissance délivrée (dissipée) dans un circuit équivaut au produit du courant et de la différence de potentiel (du point de vue de la théorie des particules chargées, pourquoi </w:t>
      </w:r>
      <w:r w:rsidRPr="00346021">
        <w:rPr>
          <w:rFonts w:cstheme="minorHAnsi"/>
          <w:lang w:val="fr-CA"/>
        </w:rPr>
        <w:t>cela a</w:t>
      </w:r>
      <w:r w:rsidRPr="00346021">
        <w:rPr>
          <w:rFonts w:cstheme="minorHAnsi"/>
          <w:lang w:val="fr-CA"/>
        </w:rPr>
        <w:noBreakHyphen/>
        <w:t>t</w:t>
      </w:r>
      <w:r w:rsidRPr="00346021">
        <w:rPr>
          <w:rFonts w:cstheme="minorHAnsi"/>
          <w:lang w:val="fr-CA"/>
        </w:rPr>
        <w:noBreakHyphen/>
        <w:t>il</w:t>
      </w:r>
      <w:r w:rsidRPr="00346021">
        <w:rPr>
          <w:rFonts w:cstheme="minorHAnsi"/>
          <w:lang w:val="fr-FR"/>
        </w:rPr>
        <w:t xml:space="preserve"> du sens?) </w:t>
      </w:r>
      <w:r w:rsidRPr="00346021">
        <w:rPr>
          <w:rFonts w:cstheme="minorHAnsi"/>
        </w:rPr>
        <w:t>Souvenez-vous</w:t>
      </w:r>
      <w:r w:rsidRPr="00346021">
        <w:rPr>
          <w:rFonts w:cstheme="minorHAnsi"/>
          <w:lang w:val="fr-FR"/>
        </w:rPr>
        <w:t xml:space="preserve"> de la formule de Joule,</w:t>
      </w:r>
    </w:p>
    <w:p w:rsidR="007B69B4" w:rsidRPr="00346021" w:rsidRDefault="007B69B4" w:rsidP="00524B08">
      <w:pPr>
        <w:pStyle w:val="Header"/>
        <w:tabs>
          <w:tab w:val="clear" w:pos="4320"/>
          <w:tab w:val="clear" w:pos="8640"/>
        </w:tabs>
        <w:rPr>
          <w:rFonts w:cstheme="minorHAnsi"/>
          <w:lang w:val="fr-FR"/>
        </w:rPr>
      </w:pPr>
    </w:p>
    <w:p w:rsidR="007B69B4" w:rsidRPr="00346021" w:rsidRDefault="00081B2A" w:rsidP="00524B08">
      <w:pPr>
        <w:pStyle w:val="Header"/>
        <w:tabs>
          <w:tab w:val="clear" w:pos="4320"/>
          <w:tab w:val="clear" w:pos="8640"/>
        </w:tabs>
        <w:rPr>
          <w:rFonts w:cstheme="minorHAnsi"/>
        </w:rPr>
      </w:pPr>
      <m:oMathPara>
        <m:oMathParaPr>
          <m:jc m:val="left"/>
        </m:oMathParaPr>
        <m:oMath>
          <m:r>
            <w:rPr>
              <w:rFonts w:ascii="Cambria Math" w:hAnsi="Cambria Math" w:cs="Calibri"/>
            </w:rPr>
            <m:t>P=</m:t>
          </m:r>
          <m:sSup>
            <m:sSupPr>
              <m:ctrlPr>
                <w:rPr>
                  <w:rFonts w:ascii="Cambria Math" w:hAnsi="Cambria Math" w:cs="Calibri"/>
                  <w:i/>
                </w:rPr>
              </m:ctrlPr>
            </m:sSupPr>
            <m:e>
              <m:r>
                <w:rPr>
                  <w:rFonts w:ascii="Cambria Math" w:hAnsi="Cambria Math" w:cs="Calibri"/>
                </w:rPr>
                <m:t>I</m:t>
              </m:r>
            </m:e>
            <m:sup>
              <m:r>
                <w:rPr>
                  <w:rFonts w:ascii="Cambria Math" w:hAnsi="Cambria Math" w:cs="Calibri"/>
                </w:rPr>
                <m:t>2</m:t>
              </m:r>
            </m:sup>
          </m:sSup>
          <m:r>
            <w:rPr>
              <w:rFonts w:ascii="Cambria Math" w:hAnsi="Cambria Math" w:cs="Calibri"/>
            </w:rPr>
            <m:t>R</m:t>
          </m:r>
        </m:oMath>
      </m:oMathPara>
    </w:p>
    <w:p w:rsidR="007B69B4" w:rsidRPr="00346021" w:rsidRDefault="007B69B4" w:rsidP="00524B08">
      <w:pPr>
        <w:pStyle w:val="Header"/>
        <w:tabs>
          <w:tab w:val="clear" w:pos="4320"/>
          <w:tab w:val="clear" w:pos="8640"/>
        </w:tabs>
        <w:rPr>
          <w:rFonts w:cstheme="minorHAnsi"/>
        </w:rPr>
      </w:pPr>
    </w:p>
    <w:p w:rsidR="007B69B4" w:rsidRPr="00346021" w:rsidRDefault="007B69B4" w:rsidP="00524B08">
      <w:pPr>
        <w:pStyle w:val="Header"/>
        <w:tabs>
          <w:tab w:val="clear" w:pos="4320"/>
          <w:tab w:val="clear" w:pos="8640"/>
        </w:tabs>
        <w:rPr>
          <w:rFonts w:cstheme="minorHAnsi"/>
        </w:rPr>
      </w:pPr>
      <w:r w:rsidRPr="00346021">
        <w:rPr>
          <w:rFonts w:cstheme="minorHAnsi"/>
        </w:rPr>
        <w:t>par conséquent,</w:t>
      </w:r>
    </w:p>
    <w:p w:rsidR="007B69B4" w:rsidRPr="00346021" w:rsidRDefault="007B69B4" w:rsidP="00524B08">
      <w:pPr>
        <w:pStyle w:val="Header"/>
        <w:tabs>
          <w:tab w:val="clear" w:pos="4320"/>
          <w:tab w:val="clear" w:pos="8640"/>
        </w:tabs>
        <w:rPr>
          <w:rFonts w:cstheme="minorHAnsi"/>
        </w:rPr>
      </w:pPr>
    </w:p>
    <w:p w:rsidR="007B69B4" w:rsidRPr="00346021" w:rsidRDefault="00C64A2A" w:rsidP="00524B08">
      <w:pPr>
        <w:pStyle w:val="Header"/>
        <w:tabs>
          <w:tab w:val="clear" w:pos="4320"/>
          <w:tab w:val="clear" w:pos="8640"/>
        </w:tabs>
        <w:rPr>
          <w:rFonts w:cstheme="minorHAnsi"/>
        </w:rPr>
      </w:pPr>
      <m:oMathPara>
        <m:oMathParaPr>
          <m:jc m:val="left"/>
        </m:oMathParaPr>
        <m:oMath>
          <m:sSup>
            <m:sSupPr>
              <m:ctrlPr>
                <w:rPr>
                  <w:rFonts w:ascii="Cambria Math" w:hAnsi="Cambria Math" w:cs="Calibri"/>
                  <w:i/>
                </w:rPr>
              </m:ctrlPr>
            </m:sSupPr>
            <m:e>
              <m:r>
                <w:rPr>
                  <w:rFonts w:ascii="Cambria Math" w:hAnsi="Cambria Math" w:cs="Calibri"/>
                </w:rPr>
                <m:t>I</m:t>
              </m:r>
            </m:e>
            <m:sup>
              <m:r>
                <w:rPr>
                  <w:rFonts w:ascii="Cambria Math" w:hAnsi="Cambria Math" w:cs="Calibri"/>
                </w:rPr>
                <m:t>2</m:t>
              </m:r>
            </m:sup>
          </m:sSup>
          <m:r>
            <w:rPr>
              <w:rFonts w:ascii="Cambria Math" w:hAnsi="Cambria Math" w:cs="Calibri"/>
            </w:rPr>
            <m:t>R=I∆V</m:t>
          </m:r>
        </m:oMath>
      </m:oMathPara>
    </w:p>
    <w:p w:rsidR="007B69B4" w:rsidRPr="00346021" w:rsidRDefault="007B69B4" w:rsidP="00524B08">
      <w:pPr>
        <w:pStyle w:val="Header"/>
        <w:tabs>
          <w:tab w:val="clear" w:pos="4320"/>
          <w:tab w:val="clear" w:pos="8640"/>
        </w:tabs>
        <w:rPr>
          <w:rFonts w:cstheme="minorHAnsi"/>
        </w:rPr>
      </w:pPr>
    </w:p>
    <w:p w:rsidR="007B69B4" w:rsidRPr="00346021" w:rsidRDefault="007B69B4" w:rsidP="00524B08">
      <w:pPr>
        <w:pStyle w:val="Header"/>
        <w:tabs>
          <w:tab w:val="clear" w:pos="4320"/>
          <w:tab w:val="clear" w:pos="8640"/>
        </w:tabs>
        <w:rPr>
          <w:rFonts w:cstheme="minorHAnsi"/>
        </w:rPr>
      </w:pPr>
      <w:r w:rsidRPr="00346021">
        <w:rPr>
          <w:rFonts w:cstheme="minorHAnsi"/>
        </w:rPr>
        <w:t>et</w:t>
      </w:r>
    </w:p>
    <w:p w:rsidR="007B69B4" w:rsidRPr="00346021" w:rsidRDefault="007B69B4" w:rsidP="00524B08">
      <w:pPr>
        <w:pStyle w:val="Header"/>
        <w:tabs>
          <w:tab w:val="clear" w:pos="4320"/>
          <w:tab w:val="clear" w:pos="8640"/>
        </w:tabs>
        <w:rPr>
          <w:rFonts w:cstheme="minorHAnsi"/>
        </w:rPr>
      </w:pPr>
    </w:p>
    <w:p w:rsidR="007B69B4" w:rsidRPr="00346021" w:rsidRDefault="00081B2A" w:rsidP="00524B08">
      <w:pPr>
        <w:pStyle w:val="Header"/>
        <w:tabs>
          <w:tab w:val="clear" w:pos="4320"/>
          <w:tab w:val="clear" w:pos="8640"/>
        </w:tabs>
        <w:rPr>
          <w:rFonts w:cstheme="minorHAnsi"/>
        </w:rPr>
      </w:pPr>
      <m:oMathPara>
        <m:oMathParaPr>
          <m:jc m:val="left"/>
        </m:oMathParaPr>
        <m:oMath>
          <m:r>
            <w:rPr>
              <w:rFonts w:ascii="Cambria Math" w:hAnsi="Cambria Math" w:cs="Calibri"/>
            </w:rPr>
            <m:t>I=</m:t>
          </m:r>
          <m:f>
            <m:fPr>
              <m:ctrlPr>
                <w:rPr>
                  <w:rFonts w:ascii="Cambria Math" w:hAnsi="Cambria Math" w:cs="Calibri"/>
                  <w:i/>
                </w:rPr>
              </m:ctrlPr>
            </m:fPr>
            <m:num>
              <m:r>
                <w:rPr>
                  <w:rFonts w:ascii="Cambria Math" w:hAnsi="Cambria Math" w:cs="Calibri"/>
                </w:rPr>
                <m:t>∆V</m:t>
              </m:r>
            </m:num>
            <m:den>
              <m:r>
                <w:rPr>
                  <w:rFonts w:ascii="Cambria Math" w:hAnsi="Cambria Math" w:cs="Calibri"/>
                </w:rPr>
                <m:t>R</m:t>
              </m:r>
            </m:den>
          </m:f>
        </m:oMath>
      </m:oMathPara>
    </w:p>
    <w:p w:rsidR="00F31B09" w:rsidRDefault="00F31B09" w:rsidP="00524B08">
      <w:pPr>
        <w:pStyle w:val="Header"/>
        <w:tabs>
          <w:tab w:val="clear" w:pos="4320"/>
          <w:tab w:val="clear" w:pos="8640"/>
        </w:tabs>
        <w:rPr>
          <w:rFonts w:cstheme="minorHAnsi"/>
          <w:lang w:val="fr-FR"/>
        </w:rPr>
      </w:pPr>
    </w:p>
    <w:p w:rsidR="00066311" w:rsidRPr="00095F2E" w:rsidRDefault="007B69B4" w:rsidP="00FB480F">
      <w:pPr>
        <w:pStyle w:val="Header"/>
        <w:tabs>
          <w:tab w:val="clear" w:pos="4320"/>
          <w:tab w:val="clear" w:pos="8640"/>
        </w:tabs>
        <w:rPr>
          <w:rFonts w:cstheme="minorHAnsi"/>
          <w:lang w:val="fr-CA"/>
        </w:rPr>
      </w:pPr>
      <w:r w:rsidRPr="00346021">
        <w:rPr>
          <w:rFonts w:cstheme="minorHAnsi"/>
          <w:lang w:val="fr-FR"/>
        </w:rPr>
        <w:t>Kirch</w:t>
      </w:r>
      <w:r w:rsidR="001801DB">
        <w:rPr>
          <w:rFonts w:cstheme="minorHAnsi"/>
          <w:lang w:val="fr-FR"/>
        </w:rPr>
        <w:t>h</w:t>
      </w:r>
      <w:r w:rsidRPr="00346021">
        <w:rPr>
          <w:rFonts w:cstheme="minorHAnsi"/>
          <w:lang w:val="fr-FR"/>
        </w:rPr>
        <w:t>off a donc démontré que si la constante de la loi d’Ohm était la différence de potentiel, alors tout ce que nous connaissions au sujet de l’électricité statique et dynamique pouvait être intégré à un système théorique et pratique cohérent (en d’autres mots, il s'agissait d’une bonne théorie).</w:t>
      </w:r>
      <w:r w:rsidR="00FB480F" w:rsidRPr="00095F2E">
        <w:rPr>
          <w:rFonts w:cstheme="minorHAnsi"/>
          <w:lang w:val="fr-CA"/>
        </w:rPr>
        <w:t xml:space="preserve"> </w:t>
      </w:r>
    </w:p>
    <w:sectPr w:rsidR="00066311" w:rsidRPr="00095F2E"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C64A2A">
    <w:pPr>
      <w:pStyle w:val="Header"/>
    </w:pPr>
    <w:r w:rsidRPr="00C64A2A">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année</w:t>
                </w:r>
              </w:p>
              <w:p w:rsidR="001801DB" w:rsidRDefault="001801DB" w:rsidP="00F6337D">
                <w:pPr>
                  <w:tabs>
                    <w:tab w:val="left" w:pos="426"/>
                  </w:tabs>
                  <w:spacing w:after="0"/>
                  <w:jc w:val="center"/>
                </w:pPr>
                <w:r>
                  <w:rPr>
                    <w:rFonts w:ascii="Arial" w:hAnsi="Arial" w:cs="Arial"/>
                    <w:b/>
                    <w:color w:val="FFFFFF"/>
                    <w:sz w:val="18"/>
                    <w:szCs w:val="20"/>
                    <w:lang w:val="en-US"/>
                  </w:rPr>
                  <w:t>Regroupement 3</w:t>
                </w:r>
              </w:p>
            </w:txbxContent>
          </v:textbox>
        </v:rect>
      </w:pict>
    </w:r>
    <w:r w:rsidRPr="00C64A2A">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C64A2A">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C64A2A" w:rsidP="002A21D2">
    <w:pPr>
      <w:pStyle w:val="Header"/>
      <w:ind w:left="-284" w:firstLine="720"/>
      <w:jc w:val="right"/>
    </w:pPr>
    <w:r w:rsidRPr="00C64A2A">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année</w:t>
                </w:r>
              </w:p>
              <w:p w:rsidR="001801DB" w:rsidRDefault="001801DB" w:rsidP="00F6337D">
                <w:pPr>
                  <w:spacing w:after="0"/>
                  <w:jc w:val="center"/>
                </w:pPr>
                <w:r>
                  <w:rPr>
                    <w:rFonts w:ascii="Arial" w:hAnsi="Arial" w:cs="Arial"/>
                    <w:b/>
                    <w:color w:val="FFFFFF"/>
                    <w:sz w:val="18"/>
                    <w:szCs w:val="20"/>
                    <w:lang w:val="en-US"/>
                  </w:rPr>
                  <w:t>Regroupement 3</w:t>
                </w:r>
              </w:p>
            </w:txbxContent>
          </v:textbox>
          <w10:wrap anchorx="margin"/>
        </v:rect>
      </w:pict>
    </w:r>
    <w:r w:rsidRPr="00C64A2A">
      <w:rPr>
        <w:noProof/>
        <w:lang w:eastAsia="en-CA"/>
      </w:rPr>
      <w:pict>
        <v:rect id="_x0000_s2076" style="position:absolute;left:0;text-align:left;margin-left:-19.35pt;margin-top:-6.9pt;width:377.6pt;height:44.25pt;z-index:251676672"/>
      </w:pict>
    </w:r>
    <w:r w:rsidRPr="00C64A2A">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hyphenationZone w:val="425"/>
  <w:evenAndOddHeaders/>
  <w:drawingGridHorizontalSpacing w:val="110"/>
  <w:displayHorizontalDrawingGridEvery w:val="2"/>
  <w:characterSpacingControl w:val="doNotCompress"/>
  <w:hdrShapeDefaults>
    <o:shapedefaults v:ext="edit" spidmax="2226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0731B"/>
    <w:rsid w:val="00120490"/>
    <w:rsid w:val="00120B3E"/>
    <w:rsid w:val="00122612"/>
    <w:rsid w:val="001301FE"/>
    <w:rsid w:val="00133510"/>
    <w:rsid w:val="00135D00"/>
    <w:rsid w:val="001377C5"/>
    <w:rsid w:val="00143374"/>
    <w:rsid w:val="001435FC"/>
    <w:rsid w:val="00143745"/>
    <w:rsid w:val="001579D1"/>
    <w:rsid w:val="00163934"/>
    <w:rsid w:val="00163B3E"/>
    <w:rsid w:val="0017294E"/>
    <w:rsid w:val="00177A55"/>
    <w:rsid w:val="001801DB"/>
    <w:rsid w:val="00185431"/>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911"/>
    <w:rsid w:val="00334E1B"/>
    <w:rsid w:val="00335B8C"/>
    <w:rsid w:val="00342C50"/>
    <w:rsid w:val="003434CF"/>
    <w:rsid w:val="00346021"/>
    <w:rsid w:val="00357C86"/>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B0B33"/>
    <w:rsid w:val="004B2877"/>
    <w:rsid w:val="004C0F0D"/>
    <w:rsid w:val="004C1D3B"/>
    <w:rsid w:val="004D269C"/>
    <w:rsid w:val="004D4304"/>
    <w:rsid w:val="004D73B1"/>
    <w:rsid w:val="004D7BBF"/>
    <w:rsid w:val="004E15DB"/>
    <w:rsid w:val="004E3F41"/>
    <w:rsid w:val="004F4A62"/>
    <w:rsid w:val="00502629"/>
    <w:rsid w:val="005171D0"/>
    <w:rsid w:val="00520FD1"/>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4A2A"/>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480F"/>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269"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AFC4-A099-4CCD-8D09-CCCAF62E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1780</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3</cp:revision>
  <cp:lastPrinted>2013-03-13T14:53:00Z</cp:lastPrinted>
  <dcterms:created xsi:type="dcterms:W3CDTF">2013-04-25T16:16:00Z</dcterms:created>
  <dcterms:modified xsi:type="dcterms:W3CDTF">2013-04-26T20:12:00Z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