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C04898">
      <w:pPr>
        <w:spacing w:after="0" w:line="240" w:lineRule="auto"/>
        <w:ind w:left="-426" w:right="-421"/>
        <w:rPr>
          <w:rFonts w:cs="Calibri"/>
          <w:b/>
          <w:sz w:val="32"/>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ANNEXE 25 : La gén</w:t>
      </w:r>
      <w:r w:rsidR="00047CDE" w:rsidRPr="00C04898">
        <w:rPr>
          <w:rFonts w:cs="Calibri"/>
          <w:b/>
          <w:sz w:val="28"/>
          <w:szCs w:val="28"/>
          <w:lang w:val="fr-CA"/>
        </w:rPr>
        <w:t xml:space="preserve">ératrice à courant alternatif – </w:t>
      </w:r>
      <w:r w:rsidRPr="00C04898">
        <w:rPr>
          <w:rFonts w:cs="Calibri"/>
          <w:b/>
          <w:sz w:val="28"/>
          <w:szCs w:val="28"/>
          <w:lang w:val="fr-CA"/>
        </w:rPr>
        <w:t xml:space="preserve">Corrigé </w:t>
      </w:r>
    </w:p>
    <w:p w:rsidR="00095F2E" w:rsidRDefault="00095F2E" w:rsidP="00524B08">
      <w:pPr>
        <w:spacing w:after="0" w:line="240" w:lineRule="auto"/>
        <w:jc w:val="center"/>
        <w:rPr>
          <w:rFonts w:ascii="Arial" w:hAnsi="Arial" w:cs="Arial"/>
          <w:lang w:val="fr-CA"/>
        </w:rPr>
      </w:pPr>
    </w:p>
    <w:p w:rsidR="007B69B4" w:rsidRPr="00095F2E" w:rsidRDefault="007B69B4" w:rsidP="00524B08">
      <w:pPr>
        <w:numPr>
          <w:ilvl w:val="0"/>
          <w:numId w:val="23"/>
        </w:numPr>
        <w:spacing w:after="0" w:line="240" w:lineRule="auto"/>
        <w:rPr>
          <w:rFonts w:cstheme="minorHAnsi"/>
          <w:lang w:val="fr-CA"/>
        </w:rPr>
      </w:pP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Il n’y a aucun courant induit.</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Au point A, le courant se dirige vers la page. Avec la troisième loi de la main droite, la paume de la main est dirigée vers la gauche, les doigts pointent vers le bas, donc le pouce se dirige vers la page. Au point B, le courant se dirige vers l’observateur.</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Au point A, le courant se dirige vers la page. La composante perpendiculaire du champ magnétique se dirige vers le haut. On dirige donc les doigts vers le bas et la paume vers la gauche, donc le pouce se dirige vers la page. Au point B, le courant se dirige vers l’observateur.</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 xml:space="preserve">La composante perpendiculaire du champ magnétique se dirige de A vers B. Au point A, on dirige les doigts vers A et la paume dans la direction </w:t>
      </w:r>
      <w:proofErr w:type="gramStart"/>
      <w:r w:rsidRPr="00095F2E">
        <w:rPr>
          <w:rFonts w:cstheme="minorHAnsi"/>
          <w:i/>
          <w:lang w:val="fr-CA"/>
        </w:rPr>
        <w:t>de</w:t>
      </w:r>
      <w:r w:rsidR="00031DC9">
        <w:rPr>
          <w:rFonts w:cstheme="minorHAnsi"/>
          <w:i/>
          <w:lang w:val="fr-CA"/>
        </w:rPr>
        <w:t xml:space="preserve"> </w:t>
      </w:r>
      <m:oMath>
        <w:proofErr w:type="gramEnd"/>
        <m:acc>
          <m:accPr>
            <m:chr m:val="⃗"/>
            <m:ctrlPr>
              <w:rPr>
                <w:rFonts w:ascii="Cambria Math" w:hAnsi="Cambria Math" w:cs="Calibri"/>
                <w:i/>
                <w:lang w:val="fr-CA"/>
              </w:rPr>
            </m:ctrlPr>
          </m:accPr>
          <m:e>
            <m:r>
              <w:rPr>
                <w:rFonts w:ascii="Cambria Math" w:hAnsi="Cambria Math" w:cs="Calibri"/>
                <w:lang w:val="fr-CA"/>
              </w:rPr>
              <m:t>v</m:t>
            </m:r>
          </m:e>
        </m:acc>
      </m:oMath>
      <w:r w:rsidRPr="00095F2E">
        <w:rPr>
          <w:rFonts w:cstheme="minorHAnsi"/>
          <w:i/>
          <w:lang w:val="fr-CA"/>
        </w:rPr>
        <w:t>. Le courant se dirige donc vers la page. Au point B, le courant se dirige vers l’observateur.</w:t>
      </w:r>
    </w:p>
    <w:p w:rsidR="007B69B4" w:rsidRPr="00095F2E" w:rsidRDefault="007B69B4" w:rsidP="00524B08">
      <w:pPr>
        <w:spacing w:after="0" w:line="240" w:lineRule="auto"/>
        <w:ind w:left="1800"/>
        <w:rPr>
          <w:rFonts w:cstheme="minorHAnsi"/>
          <w:lang w:val="fr-CA"/>
        </w:rPr>
      </w:pPr>
    </w:p>
    <w:p w:rsidR="007B69B4" w:rsidRPr="00095F2E" w:rsidRDefault="007B69B4" w:rsidP="00524B08">
      <w:pPr>
        <w:numPr>
          <w:ilvl w:val="0"/>
          <w:numId w:val="23"/>
        </w:numPr>
        <w:spacing w:after="0" w:line="240" w:lineRule="auto"/>
        <w:rPr>
          <w:rFonts w:cstheme="minorHAnsi"/>
          <w:lang w:val="fr-CA"/>
        </w:rPr>
      </w:pPr>
    </w:p>
    <w:p w:rsidR="007B69B4" w:rsidRPr="00095F2E" w:rsidRDefault="00030B52" w:rsidP="00524B08">
      <w:pPr>
        <w:spacing w:after="0" w:line="240" w:lineRule="auto"/>
        <w:ind w:left="1080"/>
        <w:rPr>
          <w:rFonts w:cstheme="minorHAnsi"/>
          <w:lang w:val="fr-CA"/>
        </w:rPr>
      </w:pPr>
      <w:r w:rsidRPr="00030B52">
        <w:rPr>
          <w:rFonts w:cstheme="minorHAnsi"/>
          <w:noProof/>
        </w:rPr>
        <w:pict>
          <v:group id="_x0000_s13090" style="position:absolute;left:0;text-align:left;margin-left:27pt;margin-top:2.4pt;width:390.6pt;height:117pt;z-index:251730944" coordorigin="2340,6318" coordsize="7812,2340">
            <v:shapetype id="_x0000_t202" coordsize="21600,21600" o:spt="202" path="m,l,21600r21600,l21600,xe">
              <v:stroke joinstyle="miter"/>
              <v:path gradientshapeok="t" o:connecttype="rect"/>
            </v:shapetype>
            <v:shape id="_x0000_s13091" type="#_x0000_t202" style="position:absolute;left:2340;top:6947;width:1290;height:680" filled="f" stroked="f">
              <v:textbox style="mso-next-textbox:#_x0000_s13091">
                <w:txbxContent>
                  <w:p w:rsidR="001801DB" w:rsidRPr="00421EA9" w:rsidRDefault="001801DB" w:rsidP="007B69B4">
                    <w:pPr>
                      <w:rPr>
                        <w:rFonts w:ascii="Tahoma" w:hAnsi="Tahoma" w:cs="Tahoma"/>
                        <w:sz w:val="20"/>
                        <w:szCs w:val="20"/>
                        <w:lang w:val="fr-CA"/>
                      </w:rPr>
                    </w:pPr>
                    <w:r>
                      <w:rPr>
                        <w:rFonts w:ascii="Tahoma" w:hAnsi="Tahoma" w:cs="Tahoma"/>
                        <w:sz w:val="20"/>
                        <w:szCs w:val="20"/>
                        <w:lang w:val="fr-CA"/>
                      </w:rPr>
                      <w:t>Potentiel induit</w:t>
                    </w:r>
                  </w:p>
                </w:txbxContent>
              </v:textbox>
            </v:shape>
            <v:shape id="_x0000_s13092" type="#_x0000_t202" style="position:absolute;left:8904;top:7225;width:1248;height:732" filled="f" stroked="f">
              <v:textbox style="mso-next-textbox:#_x0000_s13092">
                <w:txbxContent>
                  <w:p w:rsidR="001801DB" w:rsidRPr="00421EA9" w:rsidRDefault="001801DB" w:rsidP="007B69B4">
                    <w:pPr>
                      <w:rPr>
                        <w:rFonts w:ascii="Tahoma" w:hAnsi="Tahoma" w:cs="Tahoma"/>
                        <w:sz w:val="20"/>
                        <w:szCs w:val="20"/>
                        <w:lang w:val="fr-CA"/>
                      </w:rPr>
                    </w:pPr>
                    <w:proofErr w:type="gramStart"/>
                    <w:r>
                      <w:rPr>
                        <w:rFonts w:ascii="Tahoma" w:hAnsi="Tahoma" w:cs="Tahoma"/>
                        <w:sz w:val="20"/>
                        <w:szCs w:val="20"/>
                        <w:lang w:val="fr-CA"/>
                      </w:rPr>
                      <w:t>angle</w:t>
                    </w:r>
                    <w:proofErr w:type="gramEnd"/>
                    <w:r>
                      <w:rPr>
                        <w:rFonts w:ascii="Tahoma" w:hAnsi="Tahoma" w:cs="Tahoma"/>
                        <w:sz w:val="20"/>
                        <w:szCs w:val="20"/>
                        <w:lang w:val="fr-CA"/>
                      </w:rPr>
                      <w:t xml:space="preserve"> de rotation</w:t>
                    </w:r>
                  </w:p>
                </w:txbxContent>
              </v:textbox>
            </v:shape>
            <v:group id="_x0000_s13093" style="position:absolute;left:3432;top:6318;width:5164;height:2340" coordorigin="2724,1440" coordsize="6664,3178">
              <v:group id="_x0000_s13094" style="position:absolute;left:2952;top:2980;width:5762;height:238" coordorigin="2952,3246" coordsize="5762,238">
                <v:line id="_x0000_s13095" style="position:absolute" from="2952,3246" to="2953,3484" strokeweight="2.25pt"/>
                <v:line id="_x0000_s13096" style="position:absolute" from="4392,3246" to="4393,3484" strokeweight="2.25pt"/>
                <v:line id="_x0000_s13097" style="position:absolute" from="5832,3246" to="5833,3484" strokeweight="2.25pt"/>
                <v:line id="_x0000_s13098" style="position:absolute" from="7272,3246" to="7273,3484" strokeweight="2.25pt"/>
                <v:line id="_x0000_s13099" style="position:absolute" from="8713,3246" to="8714,3484" strokeweight="2.25pt"/>
              </v:group>
              <v:group id="_x0000_s13100" style="position:absolute;left:2724;top:1440;width:6664;height:3178" coordorigin="2724,1440" coordsize="6664,3178">
                <v:shape id="_x0000_s13101" type="#_x0000_t202" style="position:absolute;left:2724;top:3148;width:6664;height:476" filled="f" stroked="f">
                  <v:textbox style="mso-next-textbox:#_x0000_s13101">
                    <w:txbxContent>
                      <w:p w:rsidR="001801DB" w:rsidRPr="00421EA9" w:rsidRDefault="001801DB" w:rsidP="007B69B4">
                        <w:pPr>
                          <w:rPr>
                            <w:rFonts w:ascii="Tahoma" w:hAnsi="Tahoma" w:cs="Tahoma"/>
                            <w:sz w:val="20"/>
                            <w:szCs w:val="20"/>
                          </w:rPr>
                        </w:pPr>
                        <w:r w:rsidRPr="00421EA9">
                          <w:rPr>
                            <w:rFonts w:ascii="Tahoma" w:hAnsi="Tahoma" w:cs="Tahoma"/>
                            <w:sz w:val="20"/>
                            <w:szCs w:val="20"/>
                          </w:rPr>
                          <w:t>0°</w:t>
                        </w:r>
                        <w:r>
                          <w:tab/>
                          <w:t xml:space="preserve">        </w:t>
                        </w:r>
                        <w:r w:rsidRPr="00421EA9">
                          <w:rPr>
                            <w:rFonts w:ascii="Tahoma" w:hAnsi="Tahoma" w:cs="Tahoma"/>
                            <w:sz w:val="20"/>
                            <w:szCs w:val="20"/>
                          </w:rPr>
                          <w:t>90°</w:t>
                        </w:r>
                        <w:r>
                          <w:tab/>
                        </w:r>
                        <w:r w:rsidRPr="00421EA9">
                          <w:rPr>
                            <w:rFonts w:ascii="Tahoma" w:hAnsi="Tahoma" w:cs="Tahoma"/>
                            <w:sz w:val="20"/>
                            <w:szCs w:val="20"/>
                          </w:rPr>
                          <w:t xml:space="preserve">    180°</w:t>
                        </w:r>
                        <w:r w:rsidRPr="00421EA9">
                          <w:rPr>
                            <w:rFonts w:ascii="Tahoma" w:hAnsi="Tahoma" w:cs="Tahoma"/>
                            <w:sz w:val="20"/>
                            <w:szCs w:val="20"/>
                          </w:rPr>
                          <w:tab/>
                          <w:t xml:space="preserve">             270°</w:t>
                        </w:r>
                        <w:r w:rsidRPr="00421EA9">
                          <w:rPr>
                            <w:rFonts w:ascii="Tahoma" w:hAnsi="Tahoma" w:cs="Tahoma"/>
                            <w:sz w:val="20"/>
                            <w:szCs w:val="20"/>
                          </w:rPr>
                          <w:tab/>
                          <w:t xml:space="preserve">          360°</w:t>
                        </w:r>
                      </w:p>
                    </w:txbxContent>
                  </v:textbox>
                </v:shape>
                <v:line id="_x0000_s13102" style="position:absolute" from="2962,1440" to="2963,4618"/>
                <v:line id="_x0000_s13103" style="position:absolute" from="2962,3092" to="8954,3093"/>
                <v:group id="_x0000_s13104" style="position:absolute;left:2948;top:1692;width:5740;height:2786" coordorigin="2948,1958" coordsize="5740,2786">
                  <v:shape id="_x0000_s13105" style="position:absolute;left:2948;top:1958;width:2884;height:1400" coordsize="2884,926" path="m,926c473,465,947,4,1428,2,1909,,2641,758,2884,912e" filled="f" strokeweight="2.25pt">
                    <v:path arrowok="t"/>
                  </v:shape>
                  <v:shape id="_x0000_s13106" style="position:absolute;left:5804;top:3344;width:2884;height:1400;flip:y" coordsize="2884,926" path="m,926c473,465,947,4,1428,2,1909,,2641,758,2884,912e" filled="f" strokeweight="2.25pt">
                    <v:path arrowok="t"/>
                  </v:shape>
                </v:group>
              </v:group>
            </v:group>
          </v:group>
        </w:pict>
      </w: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spacing w:after="0" w:line="240" w:lineRule="auto"/>
        <w:ind w:left="1080"/>
        <w:rPr>
          <w:rFonts w:cstheme="minorHAnsi"/>
          <w:lang w:val="fr-CA"/>
        </w:rPr>
      </w:pPr>
    </w:p>
    <w:p w:rsidR="007B69B4" w:rsidRPr="00095F2E" w:rsidRDefault="007B69B4" w:rsidP="00524B08">
      <w:pPr>
        <w:numPr>
          <w:ilvl w:val="0"/>
          <w:numId w:val="23"/>
        </w:numPr>
        <w:spacing w:after="0" w:line="240" w:lineRule="auto"/>
        <w:rPr>
          <w:rFonts w:cstheme="minorHAnsi"/>
          <w:lang w:val="fr-CA"/>
        </w:rPr>
      </w:pP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Le potentiel augmente.</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Le potentiel augmente.</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Le potentiel augmente.</w:t>
      </w:r>
    </w:p>
    <w:p w:rsidR="007B69B4" w:rsidRPr="00095F2E" w:rsidRDefault="007B69B4" w:rsidP="00524B08">
      <w:pPr>
        <w:numPr>
          <w:ilvl w:val="1"/>
          <w:numId w:val="23"/>
        </w:numPr>
        <w:spacing w:after="0" w:line="240" w:lineRule="auto"/>
        <w:rPr>
          <w:rFonts w:cstheme="minorHAnsi"/>
          <w:i/>
          <w:lang w:val="fr-CA"/>
        </w:rPr>
      </w:pPr>
      <w:r w:rsidRPr="00095F2E">
        <w:rPr>
          <w:rFonts w:cstheme="minorHAnsi"/>
          <w:i/>
          <w:lang w:val="fr-CA"/>
        </w:rPr>
        <w:t>Le potentiel augmente.</w:t>
      </w:r>
    </w:p>
    <w:p w:rsidR="007B69B4" w:rsidRPr="00095F2E" w:rsidRDefault="007B69B4" w:rsidP="00524B08">
      <w:pPr>
        <w:spacing w:after="0" w:line="240" w:lineRule="auto"/>
        <w:ind w:left="1080"/>
        <w:rPr>
          <w:rFonts w:cstheme="minorHAnsi"/>
          <w:lang w:val="fr-CA"/>
        </w:rPr>
      </w:pPr>
    </w:p>
    <w:p w:rsidR="00095F2E" w:rsidRDefault="00030B52" w:rsidP="00524B08">
      <w:pPr>
        <w:widowControl w:val="0"/>
        <w:autoSpaceDE w:val="0"/>
        <w:autoSpaceDN w:val="0"/>
        <w:adjustRightInd w:val="0"/>
        <w:spacing w:after="0" w:line="240" w:lineRule="auto"/>
        <w:jc w:val="center"/>
        <w:rPr>
          <w:lang w:val="fr-CA"/>
        </w:rPr>
      </w:pPr>
      <w:r>
        <w:rPr>
          <w:noProof/>
          <w:lang w:val="fr-CA" w:eastAsia="fr-CA"/>
        </w:rPr>
        <w:pict>
          <v:shape id="_x0000_s22315" type="#_x0000_t202" style="position:absolute;left:0;text-align:left;margin-left:417.6pt;margin-top:182.05pt;width:62.05pt;height:23.75pt;z-index:252036096" filled="f" stroked="f">
            <v:textbox>
              <w:txbxContent>
                <w:p w:rsidR="001801DB" w:rsidRPr="006C41D8" w:rsidRDefault="001801DB" w:rsidP="00784CA8">
                  <w:pPr>
                    <w:jc w:val="right"/>
                    <w:rPr>
                      <w:sz w:val="20"/>
                      <w:lang w:val="fr-CA"/>
                    </w:rPr>
                  </w:pPr>
                  <w:r w:rsidRPr="006C41D8">
                    <w:rPr>
                      <w:sz w:val="20"/>
                      <w:lang w:val="fr-CA"/>
                    </w:rPr>
                    <w:t xml:space="preserve">Bloc </w:t>
                  </w:r>
                  <w:r>
                    <w:rPr>
                      <w:sz w:val="20"/>
                      <w:lang w:val="fr-CA"/>
                    </w:rPr>
                    <w:t>F</w:t>
                  </w:r>
                </w:p>
              </w:txbxContent>
            </v:textbox>
          </v:shape>
        </w:pict>
      </w:r>
    </w:p>
    <w:sectPr w:rsidR="00095F2E"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030B52">
    <w:pPr>
      <w:pStyle w:val="Header"/>
    </w:pPr>
    <w:r w:rsidRPr="00030B52">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030B52">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030B52">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030B52" w:rsidP="002A21D2">
    <w:pPr>
      <w:pStyle w:val="Header"/>
      <w:ind w:left="-284" w:firstLine="720"/>
      <w:jc w:val="right"/>
    </w:pPr>
    <w:r w:rsidRPr="00030B52">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030B52">
      <w:rPr>
        <w:noProof/>
        <w:lang w:eastAsia="en-CA"/>
      </w:rPr>
      <w:pict>
        <v:rect id="_x0000_s2076" style="position:absolute;left:0;text-align:left;margin-left:-19.35pt;margin-top:-6.9pt;width:377.6pt;height:44.25pt;z-index:251676672"/>
      </w:pict>
    </w:r>
    <w:r w:rsidRPr="00030B52">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6"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0B52"/>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1F46C4"/>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7C2"/>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3C93"/>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12DD"/>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4497"/>
    <w:rsid w:val="00BC5A7C"/>
    <w:rsid w:val="00BD26E8"/>
    <w:rsid w:val="00BD34B3"/>
    <w:rsid w:val="00BD51A4"/>
    <w:rsid w:val="00BE5937"/>
    <w:rsid w:val="00BE5FF4"/>
    <w:rsid w:val="00BE6B0B"/>
    <w:rsid w:val="00BF0665"/>
    <w:rsid w:val="00BF4C81"/>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3435"/>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581D"/>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6"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2D23-A6CA-4566-A836-B73F622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834</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2013-04-25T16:44:00Z</dcterms:created>
  <dcterms:modified xsi:type="dcterms:W3CDTF">2013-04-25T16:44:00Z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