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91" w:rsidRPr="00F33245" w:rsidRDefault="009B5791" w:rsidP="00BA6567">
      <w:pPr>
        <w:spacing w:line="240" w:lineRule="auto"/>
        <w:rPr>
          <w:rFonts w:cstheme="minorHAnsi"/>
          <w:color w:val="000000" w:themeColor="text1"/>
        </w:rPr>
      </w:pPr>
    </w:p>
    <w:p w:rsidR="00407396" w:rsidRPr="009E5BE7" w:rsidRDefault="00407396" w:rsidP="00407396">
      <w:pPr>
        <w:ind w:left="-364"/>
        <w:jc w:val="center"/>
        <w:rPr>
          <w:rFonts w:ascii="Calibri" w:hAnsi="Calibri" w:cs="Calibri"/>
          <w:b/>
          <w:sz w:val="28"/>
          <w:szCs w:val="28"/>
          <w:lang w:val="fr-CA"/>
        </w:rPr>
      </w:pPr>
      <w:r w:rsidRPr="00407396">
        <w:rPr>
          <w:rFonts w:ascii="Calibri" w:hAnsi="Calibri" w:cs="Calibri"/>
          <w:b/>
          <w:sz w:val="28"/>
          <w:szCs w:val="28"/>
          <w:lang w:val="fr-CA"/>
        </w:rPr>
        <w:t>ANNEXE 1 : Le processus de prise de décisions</w:t>
      </w:r>
    </w:p>
    <w:p w:rsidR="006752DA" w:rsidRDefault="006752DA" w:rsidP="00BA6567">
      <w:pPr>
        <w:spacing w:after="0" w:line="240" w:lineRule="auto"/>
        <w:rPr>
          <w:rFonts w:cstheme="minorHAnsi"/>
          <w:lang w:val="fr-CA"/>
        </w:rPr>
      </w:pPr>
      <w:r w:rsidRPr="00793816">
        <w:rPr>
          <w:rFonts w:cstheme="minorHAnsi"/>
          <w:lang w:val="fr-CA"/>
        </w:rPr>
        <w:t>Le processus de prise de décision est un moyen d’analyser des questions et de faire un choix parmi différentes mesures. Les questions sont souvent complexes et ne donnent pas lieu à une réponse unique. Elles peuvent aussi susciter de la controverse lorsqu’elles portent sur des valeurs individuelles et collectives. Par leur nature, les enjeux suscitent des opinions diverses. Chacun doit, individuellement, mettre en balance le bien et le mal, les coûts et les avantages, la justice et l’injustice, et parvenir à une interprétation équitable et tolérante. Certains de ces enjeux provoquent des désaccords sincères entre des gens pourtant raisonnables. Pour prendre une décision informée, les élèves doivent maîtriser les concepts scientifiques liés à la question et aussi être sensibilisés aux valeurs à l’origine d’une décision. Le processus comporte une série d’étapes, notamment :</w:t>
      </w:r>
    </w:p>
    <w:p w:rsidR="00AC381E" w:rsidRPr="00793816" w:rsidRDefault="00AC381E" w:rsidP="00BA6567">
      <w:pPr>
        <w:spacing w:after="0" w:line="240" w:lineRule="auto"/>
        <w:rPr>
          <w:rFonts w:cstheme="minorHAnsi"/>
          <w:lang w:val="fr-CA"/>
        </w:rPr>
      </w:pPr>
    </w:p>
    <w:p w:rsidR="006752DA" w:rsidRPr="00793816" w:rsidRDefault="006752DA" w:rsidP="00E1187E">
      <w:pPr>
        <w:numPr>
          <w:ilvl w:val="0"/>
          <w:numId w:val="12"/>
        </w:numPr>
        <w:spacing w:after="0" w:line="240" w:lineRule="auto"/>
        <w:rPr>
          <w:rFonts w:cstheme="minorHAnsi"/>
          <w:lang w:val="fr-CA"/>
        </w:rPr>
      </w:pPr>
      <w:r w:rsidRPr="00793816">
        <w:rPr>
          <w:rFonts w:cstheme="minorHAnsi"/>
          <w:lang w:val="fr-CA"/>
        </w:rPr>
        <w:t>Cerner et clarifier la question</w:t>
      </w:r>
    </w:p>
    <w:p w:rsidR="006752DA" w:rsidRPr="00793816" w:rsidRDefault="006752DA" w:rsidP="00E1187E">
      <w:pPr>
        <w:numPr>
          <w:ilvl w:val="0"/>
          <w:numId w:val="12"/>
        </w:numPr>
        <w:spacing w:after="0" w:line="240" w:lineRule="auto"/>
        <w:rPr>
          <w:rFonts w:cstheme="minorHAnsi"/>
          <w:lang w:val="fr-CA"/>
        </w:rPr>
      </w:pPr>
      <w:r w:rsidRPr="00793816">
        <w:rPr>
          <w:rFonts w:cstheme="minorHAnsi"/>
          <w:lang w:val="fr-CA"/>
        </w:rPr>
        <w:t>Connaître les différents points de vue et/ou les personnes concernées par la question</w:t>
      </w:r>
    </w:p>
    <w:p w:rsidR="006752DA" w:rsidRPr="00793816" w:rsidRDefault="006752DA" w:rsidP="00E1187E">
      <w:pPr>
        <w:numPr>
          <w:ilvl w:val="0"/>
          <w:numId w:val="12"/>
        </w:numPr>
        <w:spacing w:after="0" w:line="240" w:lineRule="auto"/>
        <w:rPr>
          <w:rFonts w:cstheme="minorHAnsi"/>
          <w:lang w:val="fr-CA"/>
        </w:rPr>
      </w:pPr>
      <w:r w:rsidRPr="00793816">
        <w:rPr>
          <w:rFonts w:cstheme="minorHAnsi"/>
          <w:lang w:val="fr-CA"/>
        </w:rPr>
        <w:t>Évaluer d’un regard critique l’information disponible</w:t>
      </w:r>
    </w:p>
    <w:p w:rsidR="006752DA" w:rsidRPr="00793816" w:rsidRDefault="006752DA" w:rsidP="00E1187E">
      <w:pPr>
        <w:numPr>
          <w:ilvl w:val="0"/>
          <w:numId w:val="12"/>
        </w:numPr>
        <w:spacing w:after="0" w:line="240" w:lineRule="auto"/>
        <w:rPr>
          <w:rFonts w:cstheme="minorHAnsi"/>
          <w:lang w:val="fr-CA"/>
        </w:rPr>
      </w:pPr>
      <w:r w:rsidRPr="00793816">
        <w:rPr>
          <w:rFonts w:cstheme="minorHAnsi"/>
          <w:lang w:val="fr-CA"/>
        </w:rPr>
        <w:t>Déterminer les options possibles ou les positions adoptées sur le sujet</w:t>
      </w:r>
    </w:p>
    <w:p w:rsidR="006752DA" w:rsidRPr="00793816" w:rsidRDefault="006752DA" w:rsidP="00E1187E">
      <w:pPr>
        <w:numPr>
          <w:ilvl w:val="0"/>
          <w:numId w:val="12"/>
        </w:numPr>
        <w:spacing w:after="0" w:line="240" w:lineRule="auto"/>
        <w:rPr>
          <w:rFonts w:cstheme="minorHAnsi"/>
          <w:lang w:val="fr-CA"/>
        </w:rPr>
      </w:pPr>
      <w:r w:rsidRPr="00793816">
        <w:rPr>
          <w:rFonts w:cstheme="minorHAnsi"/>
          <w:lang w:val="fr-CA"/>
        </w:rPr>
        <w:t>Évaluer les répercussions liées aux options possibles ou aux positions adoptées sur le sujet</w:t>
      </w:r>
    </w:p>
    <w:p w:rsidR="006752DA" w:rsidRPr="00793816" w:rsidRDefault="006752DA" w:rsidP="00E1187E">
      <w:pPr>
        <w:numPr>
          <w:ilvl w:val="0"/>
          <w:numId w:val="12"/>
        </w:numPr>
        <w:spacing w:after="0" w:line="240" w:lineRule="auto"/>
        <w:rPr>
          <w:rFonts w:cstheme="minorHAnsi"/>
          <w:lang w:val="fr-CA"/>
        </w:rPr>
      </w:pPr>
      <w:r w:rsidRPr="00793816">
        <w:rPr>
          <w:rFonts w:cstheme="minorHAnsi"/>
          <w:lang w:val="fr-CA"/>
        </w:rPr>
        <w:t>Être sensibilisé aux valeurs pouvant orienter une décision</w:t>
      </w:r>
    </w:p>
    <w:p w:rsidR="006752DA" w:rsidRPr="00793816" w:rsidRDefault="006752DA" w:rsidP="00E1187E">
      <w:pPr>
        <w:numPr>
          <w:ilvl w:val="0"/>
          <w:numId w:val="12"/>
        </w:numPr>
        <w:spacing w:after="0" w:line="240" w:lineRule="auto"/>
        <w:rPr>
          <w:rFonts w:cstheme="minorHAnsi"/>
          <w:lang w:val="fr-CA"/>
        </w:rPr>
      </w:pPr>
      <w:r w:rsidRPr="00793816">
        <w:rPr>
          <w:rFonts w:cstheme="minorHAnsi"/>
          <w:lang w:val="fr-CA"/>
        </w:rPr>
        <w:t>Prendre une décision réfléchie et fournir des justifications</w:t>
      </w:r>
    </w:p>
    <w:p w:rsidR="006752DA" w:rsidRPr="00793816" w:rsidRDefault="006752DA" w:rsidP="00E1187E">
      <w:pPr>
        <w:numPr>
          <w:ilvl w:val="0"/>
          <w:numId w:val="12"/>
        </w:numPr>
        <w:spacing w:after="0" w:line="240" w:lineRule="auto"/>
        <w:rPr>
          <w:rFonts w:cstheme="minorHAnsi"/>
          <w:lang w:val="fr-CA"/>
        </w:rPr>
      </w:pPr>
      <w:r w:rsidRPr="00793816">
        <w:rPr>
          <w:rFonts w:cstheme="minorHAnsi"/>
          <w:lang w:val="fr-CA"/>
        </w:rPr>
        <w:t>Donner suite à une décision</w:t>
      </w:r>
    </w:p>
    <w:p w:rsidR="006752DA" w:rsidRPr="00793816" w:rsidRDefault="006752DA" w:rsidP="00E1187E">
      <w:pPr>
        <w:numPr>
          <w:ilvl w:val="0"/>
          <w:numId w:val="12"/>
        </w:numPr>
        <w:spacing w:after="0" w:line="240" w:lineRule="auto"/>
        <w:rPr>
          <w:rFonts w:cstheme="minorHAnsi"/>
          <w:lang w:val="fr-CA"/>
        </w:rPr>
      </w:pPr>
      <w:r w:rsidRPr="00793816">
        <w:rPr>
          <w:rFonts w:cstheme="minorHAnsi"/>
          <w:lang w:val="fr-CA"/>
        </w:rPr>
        <w:t>Réfléchir au processus</w:t>
      </w:r>
    </w:p>
    <w:p w:rsidR="006752DA" w:rsidRPr="00793816" w:rsidRDefault="006752DA" w:rsidP="00BA6567">
      <w:pPr>
        <w:spacing w:after="0" w:line="240" w:lineRule="auto"/>
        <w:rPr>
          <w:rFonts w:cstheme="minorHAnsi"/>
          <w:lang w:val="fr-CA"/>
        </w:rPr>
      </w:pPr>
    </w:p>
    <w:p w:rsidR="006752DA" w:rsidRPr="00793816" w:rsidRDefault="006752DA" w:rsidP="00BA6567">
      <w:pPr>
        <w:spacing w:after="0" w:line="240" w:lineRule="auto"/>
        <w:rPr>
          <w:rFonts w:cstheme="minorHAnsi"/>
          <w:lang w:val="fr-CA"/>
        </w:rPr>
      </w:pPr>
      <w:r w:rsidRPr="00793816">
        <w:rPr>
          <w:rFonts w:cstheme="minorHAnsi"/>
          <w:lang w:val="fr-CA"/>
        </w:rPr>
        <w:t>Les élèves ont pris connaissance du processus de prise de décisions dans les cours de sciences de la 9</w:t>
      </w:r>
      <w:r w:rsidRPr="00793816">
        <w:rPr>
          <w:rFonts w:cstheme="minorHAnsi"/>
          <w:vertAlign w:val="superscript"/>
          <w:lang w:val="fr-CA"/>
        </w:rPr>
        <w:t>e</w:t>
      </w:r>
      <w:r w:rsidRPr="00793816">
        <w:rPr>
          <w:rFonts w:cstheme="minorHAnsi"/>
          <w:lang w:val="fr-CA"/>
        </w:rPr>
        <w:t xml:space="preserve"> année. Si les élèves ne possèdent pas beaucoup d’expérience en matière de prise de décisions, l’enseignant peut aborder le processus avec plus d’encadrement, donnant ainsi aux élèves la chance d’utiliser cette approche dans un environnement structuré. On peut ainsi choisir de leur présenter un scénario précis ou une question particulière à étudier. Les élèves prendront éventuellement une part active dans le processus en choisissant leurs propres questions, en effectuant leurs propres recherches, en prenant leurs propres décisions et en donnant suite à ces décisions.</w:t>
      </w:r>
    </w:p>
    <w:p w:rsidR="006752DA" w:rsidRPr="00793816" w:rsidRDefault="006752DA" w:rsidP="00BA6567">
      <w:pPr>
        <w:spacing w:after="0" w:line="240" w:lineRule="auto"/>
        <w:rPr>
          <w:rFonts w:cstheme="minorHAnsi"/>
          <w:lang w:val="fr-CA"/>
        </w:rPr>
      </w:pPr>
    </w:p>
    <w:p w:rsidR="006752DA" w:rsidRPr="00793816" w:rsidRDefault="006752DA" w:rsidP="00BA6567">
      <w:pPr>
        <w:spacing w:after="0" w:line="240" w:lineRule="auto"/>
        <w:rPr>
          <w:rFonts w:cstheme="minorHAnsi"/>
          <w:lang w:val="fr-CA"/>
        </w:rPr>
      </w:pPr>
      <w:r w:rsidRPr="00793816">
        <w:rPr>
          <w:rFonts w:cstheme="minorHAnsi"/>
          <w:lang w:val="fr-CA"/>
        </w:rPr>
        <w:t xml:space="preserve">On peut aborder le processus de prise de décisions sous divers angles. Par exemple, les élèves peuvent jouer le rôle de différentes personnes concernées par une question, </w:t>
      </w:r>
      <w:proofErr w:type="gramStart"/>
      <w:r w:rsidRPr="00793816">
        <w:rPr>
          <w:rFonts w:cstheme="minorHAnsi"/>
          <w:lang w:val="fr-CA"/>
        </w:rPr>
        <w:t>travailler</w:t>
      </w:r>
      <w:proofErr w:type="gramEnd"/>
      <w:r w:rsidRPr="00793816">
        <w:rPr>
          <w:rFonts w:cstheme="minorHAnsi"/>
          <w:lang w:val="fr-CA"/>
        </w:rPr>
        <w:t xml:space="preserve"> en équipes pour discuter d’une question ou prendre une décision en se fondant sur leurs propres recherches et valeurs personnelles. On peut demander aux élèves de prendre position et de débattre d’une question ou les placer dans une situation les obligeant à en venir à un consensus. Peu importe la méthode utilisée, les questions suivantes peuvent orienter les élèves dans le processus de prise de décisions :</w:t>
      </w:r>
    </w:p>
    <w:p w:rsidR="006752DA" w:rsidRPr="00793816" w:rsidRDefault="006752DA" w:rsidP="00BA6567">
      <w:pPr>
        <w:spacing w:after="0" w:line="240" w:lineRule="auto"/>
        <w:rPr>
          <w:rFonts w:cstheme="minorHAnsi"/>
          <w:lang w:val="fr-CA"/>
        </w:rPr>
      </w:pPr>
    </w:p>
    <w:p w:rsidR="006752DA" w:rsidRPr="00793816" w:rsidRDefault="006752DA" w:rsidP="00E1187E">
      <w:pPr>
        <w:numPr>
          <w:ilvl w:val="0"/>
          <w:numId w:val="13"/>
        </w:numPr>
        <w:spacing w:after="0" w:line="240" w:lineRule="auto"/>
        <w:rPr>
          <w:rFonts w:cstheme="minorHAnsi"/>
          <w:lang w:val="fr-CA"/>
        </w:rPr>
      </w:pPr>
      <w:r w:rsidRPr="00793816">
        <w:rPr>
          <w:rFonts w:cstheme="minorHAnsi"/>
          <w:lang w:val="fr-CA"/>
        </w:rPr>
        <w:t>Quelle est la question?</w:t>
      </w:r>
    </w:p>
    <w:p w:rsidR="006752DA" w:rsidRPr="00793816" w:rsidRDefault="006752DA" w:rsidP="00E1187E">
      <w:pPr>
        <w:numPr>
          <w:ilvl w:val="0"/>
          <w:numId w:val="13"/>
        </w:numPr>
        <w:spacing w:after="0" w:line="240" w:lineRule="auto"/>
        <w:rPr>
          <w:rFonts w:cstheme="minorHAnsi"/>
          <w:lang w:val="fr-CA"/>
        </w:rPr>
      </w:pPr>
      <w:r w:rsidRPr="00793816">
        <w:rPr>
          <w:rFonts w:cstheme="minorHAnsi"/>
          <w:lang w:val="fr-CA"/>
        </w:rPr>
        <w:t>Quelles sont les données scientifiques importantes nécessaires pour comprendre cette question? Où puis-je trouver ces renseignements?</w:t>
      </w:r>
    </w:p>
    <w:p w:rsidR="006752DA" w:rsidRPr="00793816" w:rsidRDefault="006752DA" w:rsidP="00E1187E">
      <w:pPr>
        <w:numPr>
          <w:ilvl w:val="0"/>
          <w:numId w:val="13"/>
        </w:numPr>
        <w:spacing w:after="0" w:line="240" w:lineRule="auto"/>
        <w:rPr>
          <w:rFonts w:cstheme="minorHAnsi"/>
          <w:lang w:val="fr-CA"/>
        </w:rPr>
      </w:pPr>
      <w:r w:rsidRPr="00793816">
        <w:rPr>
          <w:rFonts w:cstheme="minorHAnsi"/>
          <w:lang w:val="fr-CA"/>
        </w:rPr>
        <w:t>Qui a des intérêts dans cette affaire et pourquoi?</w:t>
      </w:r>
    </w:p>
    <w:p w:rsidR="00793816" w:rsidRDefault="00793816" w:rsidP="00BA6567">
      <w:pPr>
        <w:spacing w:after="0" w:line="240" w:lineRule="auto"/>
        <w:ind w:left="720"/>
        <w:rPr>
          <w:rFonts w:cstheme="minorHAnsi"/>
          <w:lang w:val="fr-CA"/>
        </w:rPr>
      </w:pPr>
    </w:p>
    <w:p w:rsidR="00793816" w:rsidRDefault="00793816" w:rsidP="00BA6567">
      <w:pPr>
        <w:spacing w:after="0" w:line="240" w:lineRule="auto"/>
        <w:ind w:left="720"/>
        <w:rPr>
          <w:rFonts w:cstheme="minorHAnsi"/>
          <w:lang w:val="fr-CA"/>
        </w:rPr>
      </w:pPr>
    </w:p>
    <w:p w:rsidR="004E16C3" w:rsidRDefault="004E16C3" w:rsidP="00BA6567">
      <w:pPr>
        <w:spacing w:after="0" w:line="240" w:lineRule="auto"/>
        <w:ind w:left="720"/>
        <w:rPr>
          <w:rFonts w:cstheme="minorHAnsi"/>
          <w:lang w:val="fr-CA"/>
        </w:rPr>
      </w:pPr>
    </w:p>
    <w:p w:rsidR="004E16C3" w:rsidRDefault="00A637FD" w:rsidP="00BA6567">
      <w:pPr>
        <w:spacing w:after="0" w:line="240" w:lineRule="auto"/>
        <w:ind w:left="720"/>
        <w:rPr>
          <w:rFonts w:cstheme="minorHAnsi"/>
          <w:lang w:val="fr-CA"/>
        </w:rPr>
      </w:pPr>
      <w:r>
        <w:rPr>
          <w:rFonts w:cstheme="minorHAnsi"/>
          <w:noProof/>
          <w:lang w:val="fr-CA" w:eastAsia="fr-CA"/>
        </w:rPr>
        <w:pict>
          <v:shapetype id="_x0000_t202" coordsize="21600,21600" o:spt="202" path="m,l,21600r21600,l21600,xe">
            <v:stroke joinstyle="miter"/>
            <v:path gradientshapeok="t" o:connecttype="rect"/>
          </v:shapetype>
          <v:shape id="_x0000_s14133" type="#_x0000_t202" style="position:absolute;left:0;text-align:left;margin-left:-37.7pt;margin-top:18.3pt;width:62.05pt;height:23.75pt;z-index:251821056" filled="f" stroked="f">
            <v:textbox>
              <w:txbxContent>
                <w:p w:rsidR="00807344" w:rsidRPr="006C41D8" w:rsidRDefault="00807344" w:rsidP="00FD15C1">
                  <w:pPr>
                    <w:rPr>
                      <w:sz w:val="20"/>
                      <w:lang w:val="fr-CA"/>
                    </w:rPr>
                  </w:pPr>
                  <w:r w:rsidRPr="006C41D8">
                    <w:rPr>
                      <w:sz w:val="20"/>
                      <w:lang w:val="fr-CA"/>
                    </w:rPr>
                    <w:t xml:space="preserve">Bloc </w:t>
                  </w:r>
                  <w:r>
                    <w:rPr>
                      <w:sz w:val="20"/>
                      <w:lang w:val="fr-CA"/>
                    </w:rPr>
                    <w:t>A</w:t>
                  </w:r>
                </w:p>
              </w:txbxContent>
            </v:textbox>
          </v:shape>
        </w:pict>
      </w:r>
    </w:p>
    <w:p w:rsidR="004E16C3" w:rsidRDefault="004E16C3" w:rsidP="00BA6567">
      <w:pPr>
        <w:spacing w:after="0" w:line="240" w:lineRule="auto"/>
        <w:ind w:left="720"/>
        <w:rPr>
          <w:rFonts w:cstheme="minorHAnsi"/>
          <w:lang w:val="fr-CA"/>
        </w:rPr>
      </w:pPr>
    </w:p>
    <w:p w:rsidR="007E5B50" w:rsidRPr="00407396" w:rsidRDefault="007E5B50" w:rsidP="00BA6567">
      <w:pPr>
        <w:pBdr>
          <w:bottom w:val="single" w:sz="4" w:space="1" w:color="auto"/>
        </w:pBdr>
        <w:spacing w:after="0" w:line="240" w:lineRule="auto"/>
        <w:ind w:left="-426" w:right="-279"/>
        <w:jc w:val="right"/>
        <w:rPr>
          <w:rFonts w:cstheme="minorHAnsi"/>
          <w:b/>
          <w:sz w:val="24"/>
          <w:szCs w:val="24"/>
          <w:lang w:val="fr-CA"/>
        </w:rPr>
      </w:pPr>
      <w:r w:rsidRPr="00407396">
        <w:rPr>
          <w:rFonts w:cstheme="minorHAnsi"/>
          <w:b/>
          <w:sz w:val="24"/>
          <w:szCs w:val="24"/>
          <w:lang w:val="fr-CA"/>
        </w:rPr>
        <w:t xml:space="preserve">ANNEXE 1 : Le processus de prise de décisions (suite) </w:t>
      </w:r>
    </w:p>
    <w:p w:rsidR="007E5B50" w:rsidRDefault="007E5B50" w:rsidP="00BA6567">
      <w:pPr>
        <w:spacing w:after="0" w:line="240" w:lineRule="auto"/>
        <w:ind w:left="720"/>
        <w:rPr>
          <w:rFonts w:cstheme="minorHAnsi"/>
          <w:lang w:val="fr-CA"/>
        </w:rPr>
      </w:pPr>
    </w:p>
    <w:p w:rsidR="007E5B50" w:rsidRDefault="007E5B50" w:rsidP="00BA6567">
      <w:pPr>
        <w:spacing w:after="0" w:line="240" w:lineRule="auto"/>
        <w:ind w:left="720"/>
        <w:rPr>
          <w:rFonts w:cstheme="minorHAnsi"/>
          <w:lang w:val="fr-CA"/>
        </w:rPr>
      </w:pPr>
    </w:p>
    <w:p w:rsidR="006752DA" w:rsidRPr="00793816" w:rsidRDefault="006752DA" w:rsidP="00E1187E">
      <w:pPr>
        <w:numPr>
          <w:ilvl w:val="0"/>
          <w:numId w:val="13"/>
        </w:numPr>
        <w:spacing w:after="0" w:line="240" w:lineRule="auto"/>
        <w:rPr>
          <w:rFonts w:cstheme="minorHAnsi"/>
          <w:lang w:val="fr-CA"/>
        </w:rPr>
      </w:pPr>
      <w:r w:rsidRPr="00793816">
        <w:rPr>
          <w:rFonts w:cstheme="minorHAnsi"/>
          <w:lang w:val="fr-CA"/>
        </w:rPr>
        <w:t>Quelles sont les options possibles?</w:t>
      </w:r>
    </w:p>
    <w:p w:rsidR="006752DA" w:rsidRPr="00793816" w:rsidRDefault="006752DA" w:rsidP="00E1187E">
      <w:pPr>
        <w:numPr>
          <w:ilvl w:val="0"/>
          <w:numId w:val="13"/>
        </w:numPr>
        <w:spacing w:after="0" w:line="240" w:lineRule="auto"/>
        <w:rPr>
          <w:rFonts w:cstheme="minorHAnsi"/>
          <w:lang w:val="fr-CA"/>
        </w:rPr>
      </w:pPr>
      <w:r w:rsidRPr="00793816">
        <w:rPr>
          <w:rFonts w:cstheme="minorHAnsi"/>
          <w:lang w:val="fr-CA"/>
        </w:rPr>
        <w:t>Quel est le pour et le contre de chacune des options éventuelles?</w:t>
      </w:r>
    </w:p>
    <w:p w:rsidR="006752DA" w:rsidRPr="00793816" w:rsidRDefault="006752DA" w:rsidP="00E1187E">
      <w:pPr>
        <w:numPr>
          <w:ilvl w:val="0"/>
          <w:numId w:val="13"/>
        </w:numPr>
        <w:spacing w:after="0" w:line="240" w:lineRule="auto"/>
        <w:rPr>
          <w:rFonts w:cstheme="minorHAnsi"/>
          <w:lang w:val="fr-CA"/>
        </w:rPr>
      </w:pPr>
      <w:r w:rsidRPr="00793816">
        <w:rPr>
          <w:rFonts w:cstheme="minorHAnsi"/>
          <w:lang w:val="fr-CA"/>
        </w:rPr>
        <w:t>Quelle est ma décision? Quels critères ont mené à la prise de cette décision?</w:t>
      </w:r>
    </w:p>
    <w:p w:rsidR="006752DA" w:rsidRPr="00793816" w:rsidRDefault="006752DA" w:rsidP="00BA6567">
      <w:pPr>
        <w:spacing w:after="0" w:line="240" w:lineRule="auto"/>
        <w:rPr>
          <w:rFonts w:cstheme="minorHAnsi"/>
          <w:lang w:val="fr-CA"/>
        </w:rPr>
      </w:pPr>
    </w:p>
    <w:p w:rsidR="007E5B50" w:rsidRDefault="007E5B50" w:rsidP="00BA6567">
      <w:pPr>
        <w:spacing w:after="0" w:line="240" w:lineRule="auto"/>
        <w:rPr>
          <w:rFonts w:cstheme="minorHAnsi"/>
          <w:b/>
          <w:lang w:val="fr-CA"/>
        </w:rPr>
      </w:pPr>
    </w:p>
    <w:p w:rsidR="006752DA" w:rsidRPr="00793816" w:rsidRDefault="006752DA" w:rsidP="00BA6567">
      <w:pPr>
        <w:spacing w:after="0" w:line="240" w:lineRule="auto"/>
        <w:rPr>
          <w:rFonts w:cstheme="minorHAnsi"/>
          <w:b/>
          <w:lang w:val="fr-CA"/>
        </w:rPr>
      </w:pPr>
      <w:r w:rsidRPr="00793816">
        <w:rPr>
          <w:rFonts w:cstheme="minorHAnsi"/>
          <w:b/>
          <w:lang w:val="fr-CA"/>
        </w:rPr>
        <w:t xml:space="preserve">Évaluation </w:t>
      </w:r>
    </w:p>
    <w:p w:rsidR="006752DA" w:rsidRPr="00793816" w:rsidRDefault="006752DA" w:rsidP="00BA6567">
      <w:pPr>
        <w:spacing w:after="0" w:line="240" w:lineRule="auto"/>
        <w:rPr>
          <w:rFonts w:cstheme="minorHAnsi"/>
          <w:lang w:val="fr-CA"/>
        </w:rPr>
      </w:pPr>
      <w:r w:rsidRPr="00793816">
        <w:rPr>
          <w:rFonts w:cstheme="minorHAnsi"/>
          <w:lang w:val="fr-CA"/>
        </w:rPr>
        <w:t>Puisqu’il existe de multiples façons d’aborder une question, divers résultats ou événements culminants peuvent découler du processus de prise de décisions, par exemple, une assemblée locale, une table ronde, une conférence, un débat, une étude de cas, un exposé de principe, un exposé en classe, une discussion en classe, etc. Peu importe le résultat ou l’événement, l’évaluation devrait mettre l’accent sur les compétences précisées dans le regroupement 0, ainsi que sur la compréhension et l’utilisation des concepts scientifiques.</w:t>
      </w:r>
    </w:p>
    <w:p w:rsidR="006752DA" w:rsidRPr="00793816" w:rsidRDefault="006752DA" w:rsidP="00BA6567">
      <w:pPr>
        <w:spacing w:after="0" w:line="240" w:lineRule="auto"/>
        <w:rPr>
          <w:rFonts w:cstheme="minorHAnsi"/>
          <w:lang w:val="fr-CA"/>
        </w:rPr>
      </w:pPr>
    </w:p>
    <w:p w:rsidR="007E5B50" w:rsidRDefault="007E5B50" w:rsidP="00BA6567">
      <w:pPr>
        <w:spacing w:after="0" w:line="240" w:lineRule="auto"/>
        <w:rPr>
          <w:rFonts w:cstheme="minorHAnsi"/>
          <w:u w:val="single"/>
          <w:lang w:val="fr-CA"/>
        </w:rPr>
      </w:pPr>
    </w:p>
    <w:p w:rsidR="006752DA" w:rsidRPr="00793816" w:rsidRDefault="006752DA" w:rsidP="00BA6567">
      <w:pPr>
        <w:spacing w:after="0" w:line="240" w:lineRule="auto"/>
        <w:rPr>
          <w:rFonts w:cstheme="minorHAnsi"/>
          <w:u w:val="single"/>
          <w:lang w:val="fr-CA"/>
        </w:rPr>
      </w:pPr>
      <w:r w:rsidRPr="00793816">
        <w:rPr>
          <w:rFonts w:cstheme="minorHAnsi"/>
          <w:u w:val="single"/>
          <w:lang w:val="fr-CA"/>
        </w:rPr>
        <w:t>Exemples de critères</w:t>
      </w:r>
    </w:p>
    <w:p w:rsidR="006752DA" w:rsidRPr="00793816" w:rsidRDefault="006752DA" w:rsidP="00BA6567">
      <w:pPr>
        <w:spacing w:after="0" w:line="240" w:lineRule="auto"/>
        <w:rPr>
          <w:rFonts w:cstheme="minorHAnsi"/>
          <w:lang w:val="fr-CA"/>
        </w:rPr>
      </w:pPr>
      <w:r w:rsidRPr="00793816">
        <w:rPr>
          <w:rFonts w:cstheme="minorHAnsi"/>
          <w:lang w:val="fr-CA"/>
        </w:rPr>
        <w:t>Pour les jeux de rôles, comme les assemblées locales, les tables rondes ou les conférences, les critères d’évaluation devraient porter sur la capacité des élèves à entrer dans la peau de l’intervenant personnifié. Ils pourraient comprendre les critères suivants :</w:t>
      </w:r>
    </w:p>
    <w:p w:rsidR="006752DA" w:rsidRPr="00793816" w:rsidRDefault="006752DA" w:rsidP="00BA6567">
      <w:pPr>
        <w:spacing w:after="0" w:line="240" w:lineRule="auto"/>
        <w:rPr>
          <w:rFonts w:cstheme="minorHAnsi"/>
          <w:lang w:val="fr-CA"/>
        </w:rPr>
      </w:pPr>
    </w:p>
    <w:p w:rsidR="006752DA" w:rsidRPr="00793816" w:rsidRDefault="006752DA" w:rsidP="00E1187E">
      <w:pPr>
        <w:numPr>
          <w:ilvl w:val="0"/>
          <w:numId w:val="14"/>
        </w:numPr>
        <w:spacing w:after="0" w:line="240" w:lineRule="auto"/>
        <w:rPr>
          <w:rFonts w:cstheme="minorHAnsi"/>
          <w:lang w:val="fr-CA"/>
        </w:rPr>
      </w:pPr>
      <w:r w:rsidRPr="00793816">
        <w:rPr>
          <w:rFonts w:cstheme="minorHAnsi"/>
          <w:lang w:val="fr-CA"/>
        </w:rPr>
        <w:t>Les opinions sont clairement définies</w:t>
      </w:r>
    </w:p>
    <w:p w:rsidR="006752DA" w:rsidRPr="00793816" w:rsidRDefault="006752DA" w:rsidP="00E1187E">
      <w:pPr>
        <w:numPr>
          <w:ilvl w:val="0"/>
          <w:numId w:val="14"/>
        </w:numPr>
        <w:spacing w:after="0" w:line="240" w:lineRule="auto"/>
        <w:rPr>
          <w:rFonts w:cstheme="minorHAnsi"/>
          <w:lang w:val="fr-CA"/>
        </w:rPr>
      </w:pPr>
      <w:r w:rsidRPr="00793816">
        <w:rPr>
          <w:rFonts w:cstheme="minorHAnsi"/>
          <w:lang w:val="fr-CA"/>
        </w:rPr>
        <w:t>Des preuves à l’appui des arguments sont présentées</w:t>
      </w:r>
    </w:p>
    <w:p w:rsidR="006752DA" w:rsidRPr="00793816" w:rsidRDefault="006752DA" w:rsidP="00E1187E">
      <w:pPr>
        <w:numPr>
          <w:ilvl w:val="0"/>
          <w:numId w:val="14"/>
        </w:numPr>
        <w:spacing w:after="0" w:line="240" w:lineRule="auto"/>
        <w:rPr>
          <w:rFonts w:cstheme="minorHAnsi"/>
          <w:lang w:val="fr-CA"/>
        </w:rPr>
      </w:pPr>
      <w:r w:rsidRPr="00793816">
        <w:rPr>
          <w:rFonts w:cstheme="minorHAnsi"/>
          <w:lang w:val="fr-CA"/>
        </w:rPr>
        <w:t>Les réponses aux questions sont claires et conformes à l’opinion de l’intervenant</w:t>
      </w:r>
    </w:p>
    <w:p w:rsidR="006752DA" w:rsidRPr="00793816" w:rsidRDefault="006752DA" w:rsidP="00E1187E">
      <w:pPr>
        <w:numPr>
          <w:ilvl w:val="0"/>
          <w:numId w:val="14"/>
        </w:numPr>
        <w:spacing w:after="0" w:line="240" w:lineRule="auto"/>
        <w:rPr>
          <w:rFonts w:cstheme="minorHAnsi"/>
          <w:lang w:val="fr-CA"/>
        </w:rPr>
      </w:pPr>
      <w:r w:rsidRPr="00793816">
        <w:rPr>
          <w:rFonts w:cstheme="minorHAnsi"/>
          <w:lang w:val="fr-CA"/>
        </w:rPr>
        <w:t>L’exposé est clair et organisé</w:t>
      </w:r>
    </w:p>
    <w:p w:rsidR="006752DA" w:rsidRPr="00793816" w:rsidRDefault="006752DA" w:rsidP="00E1187E">
      <w:pPr>
        <w:numPr>
          <w:ilvl w:val="0"/>
          <w:numId w:val="14"/>
        </w:numPr>
        <w:spacing w:after="0" w:line="240" w:lineRule="auto"/>
        <w:rPr>
          <w:rFonts w:cstheme="minorHAnsi"/>
          <w:lang w:val="fr-CA"/>
        </w:rPr>
      </w:pPr>
      <w:r w:rsidRPr="00793816">
        <w:rPr>
          <w:rFonts w:cstheme="minorHAnsi"/>
          <w:lang w:val="fr-CA"/>
        </w:rPr>
        <w:t>L’opinion de l’intervenant est présentée avec précision</w:t>
      </w:r>
    </w:p>
    <w:p w:rsidR="006752DA" w:rsidRPr="00793816" w:rsidRDefault="006752DA" w:rsidP="00E1187E">
      <w:pPr>
        <w:numPr>
          <w:ilvl w:val="0"/>
          <w:numId w:val="14"/>
        </w:numPr>
        <w:spacing w:after="0" w:line="240" w:lineRule="auto"/>
        <w:rPr>
          <w:rFonts w:cstheme="minorHAnsi"/>
          <w:lang w:val="fr-CA"/>
        </w:rPr>
      </w:pPr>
      <w:r w:rsidRPr="00793816">
        <w:rPr>
          <w:rFonts w:cstheme="minorHAnsi"/>
          <w:lang w:val="fr-CA"/>
        </w:rPr>
        <w:t>Absence de parti pris personnel</w:t>
      </w:r>
    </w:p>
    <w:p w:rsidR="006752DA" w:rsidRPr="00793816" w:rsidRDefault="006752DA" w:rsidP="00E1187E">
      <w:pPr>
        <w:numPr>
          <w:ilvl w:val="0"/>
          <w:numId w:val="14"/>
        </w:numPr>
        <w:spacing w:after="0" w:line="240" w:lineRule="auto"/>
        <w:rPr>
          <w:rFonts w:cstheme="minorHAnsi"/>
          <w:lang w:val="fr-CA"/>
        </w:rPr>
      </w:pPr>
      <w:r w:rsidRPr="00793816">
        <w:rPr>
          <w:rFonts w:cstheme="minorHAnsi"/>
          <w:lang w:val="fr-CA"/>
        </w:rPr>
        <w:t>Le langage et l’attitude sont appropriés</w:t>
      </w:r>
    </w:p>
    <w:p w:rsidR="006752DA" w:rsidRPr="00793816" w:rsidRDefault="006752DA" w:rsidP="00BA6567">
      <w:pPr>
        <w:spacing w:after="0" w:line="240" w:lineRule="auto"/>
        <w:rPr>
          <w:rFonts w:cstheme="minorHAnsi"/>
          <w:lang w:val="fr-CA"/>
        </w:rPr>
      </w:pPr>
    </w:p>
    <w:p w:rsidR="007E5B50" w:rsidRDefault="007E5B50" w:rsidP="00BA6567">
      <w:pPr>
        <w:spacing w:after="0" w:line="240" w:lineRule="auto"/>
        <w:rPr>
          <w:rFonts w:cstheme="minorHAnsi"/>
          <w:lang w:val="fr-CA"/>
        </w:rPr>
      </w:pPr>
    </w:p>
    <w:p w:rsidR="006752DA" w:rsidRPr="00793816" w:rsidRDefault="006752DA" w:rsidP="00BA6567">
      <w:pPr>
        <w:spacing w:after="0" w:line="240" w:lineRule="auto"/>
        <w:rPr>
          <w:rFonts w:cstheme="minorHAnsi"/>
          <w:lang w:val="fr-CA"/>
        </w:rPr>
      </w:pPr>
      <w:r w:rsidRPr="00793816">
        <w:rPr>
          <w:rFonts w:cstheme="minorHAnsi"/>
          <w:lang w:val="fr-CA"/>
        </w:rPr>
        <w:t>Pour un travail demandant une décision personnelle, tel qu’un exposé de principe, des critères d’évaluation pourraient comprendre :</w:t>
      </w:r>
    </w:p>
    <w:p w:rsidR="006752DA" w:rsidRPr="00793816" w:rsidRDefault="006752DA" w:rsidP="00BA6567">
      <w:pPr>
        <w:spacing w:after="0" w:line="240" w:lineRule="auto"/>
        <w:rPr>
          <w:rFonts w:cstheme="minorHAnsi"/>
          <w:lang w:val="fr-CA"/>
        </w:rPr>
      </w:pPr>
    </w:p>
    <w:p w:rsidR="006752DA" w:rsidRPr="00793816" w:rsidRDefault="006752DA" w:rsidP="00E1187E">
      <w:pPr>
        <w:numPr>
          <w:ilvl w:val="3"/>
          <w:numId w:val="14"/>
        </w:numPr>
        <w:tabs>
          <w:tab w:val="clear" w:pos="2880"/>
          <w:tab w:val="num" w:pos="720"/>
        </w:tabs>
        <w:spacing w:after="0" w:line="240" w:lineRule="auto"/>
        <w:ind w:left="720"/>
        <w:rPr>
          <w:rFonts w:cstheme="minorHAnsi"/>
          <w:lang w:val="fr-CA"/>
        </w:rPr>
      </w:pPr>
      <w:r w:rsidRPr="00793816">
        <w:rPr>
          <w:rFonts w:cstheme="minorHAnsi"/>
          <w:lang w:val="fr-CA"/>
        </w:rPr>
        <w:t>La position est clairement définie</w:t>
      </w:r>
    </w:p>
    <w:p w:rsidR="006752DA" w:rsidRPr="00793816" w:rsidRDefault="006752DA" w:rsidP="00E1187E">
      <w:pPr>
        <w:numPr>
          <w:ilvl w:val="3"/>
          <w:numId w:val="14"/>
        </w:numPr>
        <w:tabs>
          <w:tab w:val="clear" w:pos="2880"/>
          <w:tab w:val="num" w:pos="720"/>
        </w:tabs>
        <w:spacing w:after="0" w:line="240" w:lineRule="auto"/>
        <w:ind w:left="720"/>
        <w:rPr>
          <w:rFonts w:cstheme="minorHAnsi"/>
          <w:lang w:val="fr-CA"/>
        </w:rPr>
      </w:pPr>
      <w:r w:rsidRPr="00793816">
        <w:rPr>
          <w:rFonts w:cstheme="minorHAnsi"/>
          <w:lang w:val="fr-CA"/>
        </w:rPr>
        <w:t>Bonne compréhension des connaissances scientifiques impliquées</w:t>
      </w:r>
    </w:p>
    <w:p w:rsidR="006752DA" w:rsidRPr="00793816" w:rsidRDefault="006752DA" w:rsidP="00E1187E">
      <w:pPr>
        <w:numPr>
          <w:ilvl w:val="3"/>
          <w:numId w:val="14"/>
        </w:numPr>
        <w:tabs>
          <w:tab w:val="clear" w:pos="2880"/>
          <w:tab w:val="num" w:pos="720"/>
        </w:tabs>
        <w:spacing w:after="0" w:line="240" w:lineRule="auto"/>
        <w:ind w:left="720"/>
        <w:rPr>
          <w:rFonts w:cstheme="minorHAnsi"/>
          <w:lang w:val="fr-CA"/>
        </w:rPr>
      </w:pPr>
      <w:r w:rsidRPr="00793816">
        <w:rPr>
          <w:rFonts w:cstheme="minorHAnsi"/>
          <w:lang w:val="fr-CA"/>
        </w:rPr>
        <w:t>Des preuves à l’appui des arguments sont présentées</w:t>
      </w:r>
    </w:p>
    <w:p w:rsidR="006752DA" w:rsidRPr="00793816" w:rsidRDefault="006752DA" w:rsidP="00E1187E">
      <w:pPr>
        <w:numPr>
          <w:ilvl w:val="3"/>
          <w:numId w:val="14"/>
        </w:numPr>
        <w:tabs>
          <w:tab w:val="clear" w:pos="2880"/>
          <w:tab w:val="num" w:pos="720"/>
        </w:tabs>
        <w:spacing w:after="0" w:line="240" w:lineRule="auto"/>
        <w:ind w:left="720"/>
        <w:rPr>
          <w:rFonts w:cstheme="minorHAnsi"/>
          <w:lang w:val="fr-CA"/>
        </w:rPr>
      </w:pPr>
      <w:r w:rsidRPr="00793816">
        <w:rPr>
          <w:rFonts w:cstheme="minorHAnsi"/>
          <w:lang w:val="fr-CA"/>
        </w:rPr>
        <w:t>Les arguments opposés son présentés ainsi que des preuves à l’appui de ces arguments</w:t>
      </w:r>
    </w:p>
    <w:p w:rsidR="006752DA" w:rsidRPr="00793816" w:rsidRDefault="006752DA" w:rsidP="00E1187E">
      <w:pPr>
        <w:numPr>
          <w:ilvl w:val="3"/>
          <w:numId w:val="14"/>
        </w:numPr>
        <w:tabs>
          <w:tab w:val="clear" w:pos="2880"/>
          <w:tab w:val="num" w:pos="720"/>
        </w:tabs>
        <w:spacing w:after="0" w:line="240" w:lineRule="auto"/>
        <w:ind w:left="720"/>
        <w:rPr>
          <w:rFonts w:cstheme="minorHAnsi"/>
          <w:lang w:val="fr-CA"/>
        </w:rPr>
      </w:pPr>
      <w:r w:rsidRPr="00793816">
        <w:rPr>
          <w:rFonts w:cstheme="minorHAnsi"/>
          <w:lang w:val="fr-CA"/>
        </w:rPr>
        <w:t>Des raisons sont présentées expliquant pourquoi les arguments opposés n’ont pas été acceptés</w:t>
      </w:r>
    </w:p>
    <w:p w:rsidR="006752DA" w:rsidRPr="00793816" w:rsidRDefault="006752DA" w:rsidP="00E1187E">
      <w:pPr>
        <w:numPr>
          <w:ilvl w:val="3"/>
          <w:numId w:val="14"/>
        </w:numPr>
        <w:tabs>
          <w:tab w:val="clear" w:pos="2880"/>
          <w:tab w:val="num" w:pos="720"/>
        </w:tabs>
        <w:spacing w:after="0" w:line="240" w:lineRule="auto"/>
        <w:ind w:left="720"/>
        <w:rPr>
          <w:rFonts w:cstheme="minorHAnsi"/>
          <w:lang w:val="fr-CA"/>
        </w:rPr>
      </w:pPr>
      <w:r w:rsidRPr="00793816">
        <w:rPr>
          <w:rFonts w:cstheme="minorHAnsi"/>
          <w:lang w:val="fr-CA"/>
        </w:rPr>
        <w:t>Les sources ont été citées dans un format acceptable</w:t>
      </w:r>
    </w:p>
    <w:p w:rsidR="006752DA" w:rsidRPr="00793816" w:rsidRDefault="006752DA" w:rsidP="00BA6567">
      <w:pPr>
        <w:spacing w:after="0" w:line="240" w:lineRule="auto"/>
        <w:rPr>
          <w:rFonts w:cstheme="minorHAnsi"/>
          <w:lang w:val="fr-CA"/>
        </w:rPr>
      </w:pPr>
    </w:p>
    <w:p w:rsidR="007E5B50" w:rsidRDefault="007E5B50" w:rsidP="00BA6567">
      <w:pPr>
        <w:spacing w:after="0" w:line="240" w:lineRule="auto"/>
        <w:rPr>
          <w:rFonts w:cstheme="minorHAnsi"/>
          <w:lang w:val="fr-CA"/>
        </w:rPr>
      </w:pPr>
    </w:p>
    <w:p w:rsidR="007E5B50" w:rsidRDefault="007E5B50" w:rsidP="00BA6567">
      <w:pPr>
        <w:spacing w:after="0" w:line="240" w:lineRule="auto"/>
        <w:ind w:left="720"/>
        <w:rPr>
          <w:rFonts w:cstheme="minorHAnsi"/>
          <w:lang w:val="fr-CA"/>
        </w:rPr>
      </w:pPr>
    </w:p>
    <w:p w:rsidR="004E16C3" w:rsidRDefault="004E16C3" w:rsidP="00BA6567">
      <w:pPr>
        <w:spacing w:after="0" w:line="240" w:lineRule="auto"/>
        <w:ind w:left="720"/>
        <w:rPr>
          <w:rFonts w:cstheme="minorHAnsi"/>
          <w:lang w:val="fr-CA"/>
        </w:rPr>
      </w:pPr>
    </w:p>
    <w:p w:rsidR="004E16C3" w:rsidRDefault="004E16C3" w:rsidP="00BA6567">
      <w:pPr>
        <w:spacing w:after="0" w:line="240" w:lineRule="auto"/>
        <w:ind w:left="720"/>
        <w:rPr>
          <w:rFonts w:cstheme="minorHAnsi"/>
          <w:lang w:val="fr-CA"/>
        </w:rPr>
      </w:pPr>
    </w:p>
    <w:p w:rsidR="004E16C3" w:rsidRDefault="00A637FD" w:rsidP="00BA6567">
      <w:pPr>
        <w:spacing w:after="0" w:line="240" w:lineRule="auto"/>
        <w:ind w:left="720"/>
        <w:rPr>
          <w:rFonts w:cstheme="minorHAnsi"/>
          <w:lang w:val="fr-CA"/>
        </w:rPr>
      </w:pPr>
      <w:r>
        <w:rPr>
          <w:rFonts w:cstheme="minorHAnsi"/>
          <w:noProof/>
          <w:lang w:val="fr-CA" w:eastAsia="fr-CA"/>
        </w:rPr>
        <w:pict>
          <v:shape id="_x0000_s14134" type="#_x0000_t202" style="position:absolute;left:0;text-align:left;margin-left:418.3pt;margin-top:17.75pt;width:62.05pt;height:23.75pt;z-index:251822080" filled="f" stroked="f">
            <v:textbox>
              <w:txbxContent>
                <w:p w:rsidR="00807344" w:rsidRPr="006C41D8" w:rsidRDefault="00807344" w:rsidP="00FD15C1">
                  <w:pPr>
                    <w:jc w:val="right"/>
                    <w:rPr>
                      <w:sz w:val="20"/>
                      <w:lang w:val="fr-CA"/>
                    </w:rPr>
                  </w:pPr>
                  <w:r w:rsidRPr="006C41D8">
                    <w:rPr>
                      <w:sz w:val="20"/>
                      <w:lang w:val="fr-CA"/>
                    </w:rPr>
                    <w:t xml:space="preserve">Bloc </w:t>
                  </w:r>
                  <w:r>
                    <w:rPr>
                      <w:sz w:val="20"/>
                      <w:lang w:val="fr-CA"/>
                    </w:rPr>
                    <w:t>A</w:t>
                  </w:r>
                </w:p>
              </w:txbxContent>
            </v:textbox>
          </v:shape>
        </w:pict>
      </w:r>
    </w:p>
    <w:p w:rsidR="004E16C3" w:rsidRDefault="004E16C3" w:rsidP="00BA6567">
      <w:pPr>
        <w:spacing w:after="0" w:line="240" w:lineRule="auto"/>
        <w:ind w:left="720"/>
        <w:rPr>
          <w:rFonts w:cstheme="minorHAnsi"/>
          <w:lang w:val="fr-CA"/>
        </w:rPr>
      </w:pPr>
    </w:p>
    <w:p w:rsidR="007E5B50" w:rsidRPr="00407396" w:rsidRDefault="007E5B50" w:rsidP="00BA6567">
      <w:pPr>
        <w:pBdr>
          <w:bottom w:val="single" w:sz="4" w:space="1" w:color="auto"/>
        </w:pBdr>
        <w:spacing w:after="0" w:line="240" w:lineRule="auto"/>
        <w:ind w:left="-426" w:right="-279"/>
        <w:jc w:val="right"/>
        <w:rPr>
          <w:rFonts w:cstheme="minorHAnsi"/>
          <w:b/>
          <w:sz w:val="24"/>
          <w:szCs w:val="24"/>
          <w:lang w:val="fr-CA"/>
        </w:rPr>
      </w:pPr>
      <w:r w:rsidRPr="00407396">
        <w:rPr>
          <w:rFonts w:cstheme="minorHAnsi"/>
          <w:b/>
          <w:sz w:val="24"/>
          <w:szCs w:val="24"/>
          <w:lang w:val="fr-CA"/>
        </w:rPr>
        <w:t xml:space="preserve">ANNEXE 1 : Le processus de prise de décisions (suite) </w:t>
      </w:r>
    </w:p>
    <w:p w:rsidR="007E5B50" w:rsidRDefault="007E5B50" w:rsidP="00BA6567">
      <w:pPr>
        <w:spacing w:after="0" w:line="240" w:lineRule="auto"/>
        <w:rPr>
          <w:rFonts w:cstheme="minorHAnsi"/>
          <w:lang w:val="fr-CA"/>
        </w:rPr>
      </w:pPr>
    </w:p>
    <w:p w:rsidR="007E5B50" w:rsidRDefault="007E5B50" w:rsidP="00BA6567">
      <w:pPr>
        <w:spacing w:after="0" w:line="240" w:lineRule="auto"/>
        <w:rPr>
          <w:rFonts w:cstheme="minorHAnsi"/>
          <w:lang w:val="fr-CA"/>
        </w:rPr>
      </w:pPr>
    </w:p>
    <w:p w:rsidR="006752DA" w:rsidRPr="00793816" w:rsidRDefault="006752DA" w:rsidP="00BA6567">
      <w:pPr>
        <w:spacing w:after="0" w:line="240" w:lineRule="auto"/>
        <w:rPr>
          <w:rFonts w:cstheme="minorHAnsi"/>
          <w:lang w:val="fr-CA"/>
        </w:rPr>
      </w:pPr>
      <w:r w:rsidRPr="00793816">
        <w:rPr>
          <w:rFonts w:cstheme="minorHAnsi"/>
          <w:lang w:val="fr-CA"/>
        </w:rPr>
        <w:t>Pour un débat, des critères d’évaluation pourraient comprendre :</w:t>
      </w:r>
    </w:p>
    <w:p w:rsidR="006752DA" w:rsidRPr="00793816" w:rsidRDefault="006752DA" w:rsidP="00BA6567">
      <w:pPr>
        <w:spacing w:after="0" w:line="240" w:lineRule="auto"/>
        <w:rPr>
          <w:rFonts w:cstheme="minorHAnsi"/>
          <w:lang w:val="fr-CA"/>
        </w:rPr>
      </w:pPr>
    </w:p>
    <w:p w:rsidR="006752DA" w:rsidRPr="00793816" w:rsidRDefault="006752DA" w:rsidP="00E1187E">
      <w:pPr>
        <w:numPr>
          <w:ilvl w:val="0"/>
          <w:numId w:val="15"/>
        </w:numPr>
        <w:spacing w:after="0" w:line="240" w:lineRule="auto"/>
        <w:rPr>
          <w:rFonts w:cstheme="minorHAnsi"/>
          <w:lang w:val="fr-CA"/>
        </w:rPr>
      </w:pPr>
      <w:r w:rsidRPr="00793816">
        <w:rPr>
          <w:rFonts w:cstheme="minorHAnsi"/>
          <w:lang w:val="fr-CA"/>
        </w:rPr>
        <w:t>L’introduction est organisée et reste concentrée sur le sujet</w:t>
      </w:r>
    </w:p>
    <w:p w:rsidR="006752DA" w:rsidRPr="00793816" w:rsidRDefault="006752DA" w:rsidP="00E1187E">
      <w:pPr>
        <w:numPr>
          <w:ilvl w:val="0"/>
          <w:numId w:val="15"/>
        </w:numPr>
        <w:spacing w:after="0" w:line="240" w:lineRule="auto"/>
        <w:rPr>
          <w:rFonts w:cstheme="minorHAnsi"/>
          <w:lang w:val="fr-CA"/>
        </w:rPr>
      </w:pPr>
      <w:r w:rsidRPr="00793816">
        <w:rPr>
          <w:rFonts w:cstheme="minorHAnsi"/>
          <w:lang w:val="fr-CA"/>
        </w:rPr>
        <w:t>Des preuves à l’appui des arguments sont présentées</w:t>
      </w:r>
    </w:p>
    <w:p w:rsidR="006752DA" w:rsidRPr="00793816" w:rsidRDefault="006752DA" w:rsidP="00E1187E">
      <w:pPr>
        <w:numPr>
          <w:ilvl w:val="0"/>
          <w:numId w:val="15"/>
        </w:numPr>
        <w:spacing w:after="0" w:line="240" w:lineRule="auto"/>
        <w:rPr>
          <w:rFonts w:cstheme="minorHAnsi"/>
          <w:lang w:val="fr-CA"/>
        </w:rPr>
      </w:pPr>
      <w:r w:rsidRPr="00793816">
        <w:rPr>
          <w:rFonts w:cstheme="minorHAnsi"/>
          <w:lang w:val="fr-CA"/>
        </w:rPr>
        <w:t>Les arguments sont clairs et convaincants</w:t>
      </w:r>
    </w:p>
    <w:p w:rsidR="006752DA" w:rsidRPr="00793816" w:rsidRDefault="006752DA" w:rsidP="00E1187E">
      <w:pPr>
        <w:numPr>
          <w:ilvl w:val="0"/>
          <w:numId w:val="15"/>
        </w:numPr>
        <w:spacing w:after="0" w:line="240" w:lineRule="auto"/>
        <w:rPr>
          <w:rFonts w:cstheme="minorHAnsi"/>
          <w:lang w:val="fr-CA"/>
        </w:rPr>
      </w:pPr>
      <w:r w:rsidRPr="00793816">
        <w:rPr>
          <w:rFonts w:cstheme="minorHAnsi"/>
          <w:lang w:val="fr-CA"/>
        </w:rPr>
        <w:t>Tous les membres de l’équipe participent de façon équitable et efficace</w:t>
      </w:r>
    </w:p>
    <w:p w:rsidR="006752DA" w:rsidRPr="00793816" w:rsidRDefault="006752DA" w:rsidP="00E1187E">
      <w:pPr>
        <w:numPr>
          <w:ilvl w:val="0"/>
          <w:numId w:val="15"/>
        </w:numPr>
        <w:spacing w:after="0" w:line="240" w:lineRule="auto"/>
        <w:rPr>
          <w:rFonts w:cstheme="minorHAnsi"/>
          <w:lang w:val="fr-CA"/>
        </w:rPr>
      </w:pPr>
      <w:r w:rsidRPr="00793816">
        <w:rPr>
          <w:rFonts w:cstheme="minorHAnsi"/>
          <w:lang w:val="fr-CA"/>
        </w:rPr>
        <w:t>Les éléments présentés dans l’observation finale sont directement liés au sujet</w:t>
      </w:r>
    </w:p>
    <w:p w:rsidR="006752DA" w:rsidRPr="00793816" w:rsidRDefault="006752DA" w:rsidP="00BA6567">
      <w:pPr>
        <w:spacing w:after="0" w:line="240" w:lineRule="auto"/>
        <w:rPr>
          <w:rFonts w:cstheme="minorHAnsi"/>
          <w:lang w:val="fr-CA"/>
        </w:rPr>
      </w:pPr>
    </w:p>
    <w:p w:rsidR="007E5B50" w:rsidRDefault="00A637FD" w:rsidP="00BA6567">
      <w:pPr>
        <w:spacing w:line="240" w:lineRule="auto"/>
        <w:rPr>
          <w:rFonts w:ascii="Arial" w:hAnsi="Arial" w:cs="Arial"/>
          <w:b/>
          <w:lang w:val="fr-CA"/>
        </w:rPr>
      </w:pPr>
      <w:r>
        <w:rPr>
          <w:rFonts w:ascii="Arial" w:hAnsi="Arial" w:cs="Arial"/>
          <w:b/>
          <w:noProof/>
          <w:lang w:val="fr-CA" w:eastAsia="fr-CA"/>
        </w:rPr>
        <w:pict>
          <v:shape id="_x0000_s14135" type="#_x0000_t202" style="position:absolute;margin-left:-37.2pt;margin-top:480.7pt;width:62.05pt;height:23.75pt;z-index:251823104" filled="f" stroked="f">
            <v:textbox>
              <w:txbxContent>
                <w:p w:rsidR="00807344" w:rsidRPr="006C41D8" w:rsidRDefault="00807344" w:rsidP="00FD15C1">
                  <w:pPr>
                    <w:rPr>
                      <w:sz w:val="20"/>
                      <w:lang w:val="fr-CA"/>
                    </w:rPr>
                  </w:pPr>
                  <w:r w:rsidRPr="006C41D8">
                    <w:rPr>
                      <w:sz w:val="20"/>
                      <w:lang w:val="fr-CA"/>
                    </w:rPr>
                    <w:t xml:space="preserve">Bloc </w:t>
                  </w:r>
                  <w:r>
                    <w:rPr>
                      <w:sz w:val="20"/>
                      <w:lang w:val="fr-CA"/>
                    </w:rPr>
                    <w:t>A</w:t>
                  </w:r>
                </w:p>
              </w:txbxContent>
            </v:textbox>
          </v:shape>
        </w:pict>
      </w:r>
    </w:p>
    <w:sectPr w:rsidR="007E5B50" w:rsidSect="00E64E08">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A637FD">
    <w:pPr>
      <w:pStyle w:val="Header"/>
    </w:pPr>
    <w:r w:rsidRPr="00A637FD">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A637FD">
      <w:rPr>
        <w:noProof/>
        <w:lang w:eastAsia="en-CA"/>
      </w:rPr>
      <w:pict>
        <v:rect id="_x0000_s2078" style="position:absolute;margin-left:109.6pt;margin-top:-8.35pt;width:376.85pt;height:44.25pt;z-index:251678720" fillcolor="white [3212]" strokecolor="black [3213]"/>
      </w:pict>
    </w:r>
    <w:r w:rsidRPr="00A637FD">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A637FD" w:rsidP="002A21D2">
    <w:pPr>
      <w:pStyle w:val="Header"/>
      <w:ind w:left="-284" w:firstLine="720"/>
      <w:jc w:val="right"/>
    </w:pPr>
    <w:r w:rsidRPr="00A637FD">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A637FD">
      <w:rPr>
        <w:noProof/>
        <w:lang w:eastAsia="en-CA"/>
      </w:rPr>
      <w:pict>
        <v:rect id="_x0000_s2076" style="position:absolute;left:0;text-align:left;margin-left:-21pt;margin-top:-6.9pt;width:373.45pt;height:44.25pt;z-index:251676672" fillcolor="white [3212]" strokecolor="black [3213]"/>
      </w:pict>
    </w:r>
    <w:r w:rsidRPr="00A637FD">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37">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3507"/>
    <w:rsid w:val="00007DF0"/>
    <w:rsid w:val="00010612"/>
    <w:rsid w:val="00013390"/>
    <w:rsid w:val="00016A56"/>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704B8"/>
    <w:rsid w:val="00370B2A"/>
    <w:rsid w:val="0037150C"/>
    <w:rsid w:val="00374165"/>
    <w:rsid w:val="0037545A"/>
    <w:rsid w:val="00386288"/>
    <w:rsid w:val="003915A7"/>
    <w:rsid w:val="00392275"/>
    <w:rsid w:val="00392AF8"/>
    <w:rsid w:val="003949F4"/>
    <w:rsid w:val="003A119B"/>
    <w:rsid w:val="003A45ED"/>
    <w:rsid w:val="003B1694"/>
    <w:rsid w:val="003B16FC"/>
    <w:rsid w:val="003B2208"/>
    <w:rsid w:val="003C43EE"/>
    <w:rsid w:val="003D1AFB"/>
    <w:rsid w:val="003E3A5F"/>
    <w:rsid w:val="003E47E9"/>
    <w:rsid w:val="003F353C"/>
    <w:rsid w:val="00406072"/>
    <w:rsid w:val="00407396"/>
    <w:rsid w:val="00416279"/>
    <w:rsid w:val="0041706D"/>
    <w:rsid w:val="004172A5"/>
    <w:rsid w:val="00423249"/>
    <w:rsid w:val="00431EF9"/>
    <w:rsid w:val="00434EC3"/>
    <w:rsid w:val="004465C5"/>
    <w:rsid w:val="00447A6D"/>
    <w:rsid w:val="00447A6F"/>
    <w:rsid w:val="00463770"/>
    <w:rsid w:val="0046409F"/>
    <w:rsid w:val="00464618"/>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43CAF"/>
    <w:rsid w:val="00546771"/>
    <w:rsid w:val="00552E96"/>
    <w:rsid w:val="00556E00"/>
    <w:rsid w:val="0056209A"/>
    <w:rsid w:val="00563546"/>
    <w:rsid w:val="00580A0C"/>
    <w:rsid w:val="00581781"/>
    <w:rsid w:val="00581E7E"/>
    <w:rsid w:val="00585707"/>
    <w:rsid w:val="00590653"/>
    <w:rsid w:val="00591C8D"/>
    <w:rsid w:val="005924A2"/>
    <w:rsid w:val="005B737F"/>
    <w:rsid w:val="005D2E80"/>
    <w:rsid w:val="005D4102"/>
    <w:rsid w:val="005E21C3"/>
    <w:rsid w:val="005E59F9"/>
    <w:rsid w:val="005F23A4"/>
    <w:rsid w:val="005F7325"/>
    <w:rsid w:val="0060724B"/>
    <w:rsid w:val="00611A62"/>
    <w:rsid w:val="00612285"/>
    <w:rsid w:val="00626809"/>
    <w:rsid w:val="00631812"/>
    <w:rsid w:val="0063478A"/>
    <w:rsid w:val="0063663B"/>
    <w:rsid w:val="00640039"/>
    <w:rsid w:val="0064012B"/>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6F00"/>
    <w:rsid w:val="00784651"/>
    <w:rsid w:val="00784FA1"/>
    <w:rsid w:val="00785F2D"/>
    <w:rsid w:val="00793816"/>
    <w:rsid w:val="00793B42"/>
    <w:rsid w:val="00794E05"/>
    <w:rsid w:val="007A7593"/>
    <w:rsid w:val="007B7781"/>
    <w:rsid w:val="007C587E"/>
    <w:rsid w:val="007D031F"/>
    <w:rsid w:val="007D6110"/>
    <w:rsid w:val="007D7C36"/>
    <w:rsid w:val="007E5B50"/>
    <w:rsid w:val="007F045B"/>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83577"/>
    <w:rsid w:val="008853E7"/>
    <w:rsid w:val="008903D3"/>
    <w:rsid w:val="00891353"/>
    <w:rsid w:val="008A1F43"/>
    <w:rsid w:val="008B0F52"/>
    <w:rsid w:val="008C13C4"/>
    <w:rsid w:val="008D2603"/>
    <w:rsid w:val="008D595E"/>
    <w:rsid w:val="008D6C46"/>
    <w:rsid w:val="008D7122"/>
    <w:rsid w:val="008E28DE"/>
    <w:rsid w:val="008E6427"/>
    <w:rsid w:val="008F0C23"/>
    <w:rsid w:val="008F576C"/>
    <w:rsid w:val="008F619F"/>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4590"/>
    <w:rsid w:val="00A162F5"/>
    <w:rsid w:val="00A1780C"/>
    <w:rsid w:val="00A43312"/>
    <w:rsid w:val="00A43A76"/>
    <w:rsid w:val="00A46A73"/>
    <w:rsid w:val="00A52410"/>
    <w:rsid w:val="00A637FD"/>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1E11"/>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A019E"/>
    <w:rsid w:val="00CA0751"/>
    <w:rsid w:val="00CA21C3"/>
    <w:rsid w:val="00CA43EB"/>
    <w:rsid w:val="00CA6E19"/>
    <w:rsid w:val="00CB3195"/>
    <w:rsid w:val="00CB6652"/>
    <w:rsid w:val="00CC4DA6"/>
    <w:rsid w:val="00CC4FAE"/>
    <w:rsid w:val="00CC7957"/>
    <w:rsid w:val="00CD1D94"/>
    <w:rsid w:val="00CD20DA"/>
    <w:rsid w:val="00CD7BB3"/>
    <w:rsid w:val="00CE27F7"/>
    <w:rsid w:val="00D01EA9"/>
    <w:rsid w:val="00D10AC8"/>
    <w:rsid w:val="00D127C5"/>
    <w:rsid w:val="00D12B5B"/>
    <w:rsid w:val="00D12EBA"/>
    <w:rsid w:val="00D1626B"/>
    <w:rsid w:val="00D175C0"/>
    <w:rsid w:val="00D209C1"/>
    <w:rsid w:val="00D21E49"/>
    <w:rsid w:val="00D24756"/>
    <w:rsid w:val="00D247A8"/>
    <w:rsid w:val="00D302B0"/>
    <w:rsid w:val="00D41E57"/>
    <w:rsid w:val="00D539EA"/>
    <w:rsid w:val="00D55016"/>
    <w:rsid w:val="00D55FC9"/>
    <w:rsid w:val="00D57383"/>
    <w:rsid w:val="00D57AC6"/>
    <w:rsid w:val="00D6073B"/>
    <w:rsid w:val="00D64EE1"/>
    <w:rsid w:val="00D80921"/>
    <w:rsid w:val="00D93D29"/>
    <w:rsid w:val="00D94B77"/>
    <w:rsid w:val="00D96B5F"/>
    <w:rsid w:val="00D9787E"/>
    <w:rsid w:val="00DA04EB"/>
    <w:rsid w:val="00DA6D7F"/>
    <w:rsid w:val="00DA79B3"/>
    <w:rsid w:val="00DA7EA4"/>
    <w:rsid w:val="00DB1FE8"/>
    <w:rsid w:val="00DB30B2"/>
    <w:rsid w:val="00DC220D"/>
    <w:rsid w:val="00DC3B15"/>
    <w:rsid w:val="00DC5A16"/>
    <w:rsid w:val="00DD4505"/>
    <w:rsid w:val="00DD4C4D"/>
    <w:rsid w:val="00DE755E"/>
    <w:rsid w:val="00DF350B"/>
    <w:rsid w:val="00DF49EB"/>
    <w:rsid w:val="00DF52C9"/>
    <w:rsid w:val="00E1187E"/>
    <w:rsid w:val="00E21764"/>
    <w:rsid w:val="00E22946"/>
    <w:rsid w:val="00E249F8"/>
    <w:rsid w:val="00E2512B"/>
    <w:rsid w:val="00E32BA3"/>
    <w:rsid w:val="00E32E3A"/>
    <w:rsid w:val="00E34EF9"/>
    <w:rsid w:val="00E3582F"/>
    <w:rsid w:val="00E3718B"/>
    <w:rsid w:val="00E40247"/>
    <w:rsid w:val="00E46899"/>
    <w:rsid w:val="00E4708F"/>
    <w:rsid w:val="00E536F9"/>
    <w:rsid w:val="00E60DD3"/>
    <w:rsid w:val="00E62BDF"/>
    <w:rsid w:val="00E64E08"/>
    <w:rsid w:val="00E71A89"/>
    <w:rsid w:val="00E720CD"/>
    <w:rsid w:val="00E810BE"/>
    <w:rsid w:val="00E903AD"/>
    <w:rsid w:val="00E90BA2"/>
    <w:rsid w:val="00E90F02"/>
    <w:rsid w:val="00E94CBF"/>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27A8"/>
    <w:rsid w:val="00F33245"/>
    <w:rsid w:val="00F34CB2"/>
    <w:rsid w:val="00F4220F"/>
    <w:rsid w:val="00F51F2C"/>
    <w:rsid w:val="00F52F39"/>
    <w:rsid w:val="00F6008C"/>
    <w:rsid w:val="00F70505"/>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37">
      <o:colormenu v:ext="edit" fillcolor="none" strokecolor="none"/>
    </o:shapedefaults>
    <o:shapelayout v:ext="edit">
      <o:idmap v:ext="edit" data="1,4,6,8,10,13"/>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9E1C-7A02-4FB2-8FA4-0649174A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4478</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3</cp:revision>
  <cp:lastPrinted>2013-03-20T15:21:00Z</cp:lastPrinted>
  <dcterms:created xsi:type="dcterms:W3CDTF">2013-04-25T15:33:00Z</dcterms:created>
  <dcterms:modified xsi:type="dcterms:W3CDTF">2013-04-26T20:08:00Z</dcterms:modified>
</cp:coreProperties>
</file>