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0" w:rsidRPr="00A70F3C" w:rsidRDefault="00094B90" w:rsidP="00915BC1">
      <w:pPr>
        <w:spacing w:after="0" w:line="240" w:lineRule="auto"/>
        <w:ind w:left="-811"/>
        <w:rPr>
          <w:rFonts w:ascii="Calibri" w:hAnsi="Calibri" w:cs="Calibri"/>
          <w:b/>
          <w:lang w:val="fr-CA"/>
        </w:rPr>
      </w:pPr>
    </w:p>
    <w:p w:rsidR="00094B90" w:rsidRDefault="00094B90" w:rsidP="00915BC1">
      <w:pPr>
        <w:spacing w:after="0" w:line="240" w:lineRule="auto"/>
        <w:ind w:left="-811"/>
        <w:jc w:val="center"/>
        <w:rPr>
          <w:rFonts w:ascii="Calibri" w:hAnsi="Calibri" w:cs="Calibri"/>
          <w:b/>
          <w:sz w:val="32"/>
          <w:lang w:val="fr-CA"/>
        </w:rPr>
      </w:pPr>
    </w:p>
    <w:p w:rsidR="00094B90" w:rsidRPr="009E5BE7" w:rsidRDefault="00094B90" w:rsidP="009E5BE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18 : Grille d’évaluation – Le rapport d’expérience</w:t>
      </w:r>
    </w:p>
    <w:p w:rsidR="00094B90" w:rsidRDefault="00094B90" w:rsidP="00094B90">
      <w:pPr>
        <w:tabs>
          <w:tab w:val="left" w:pos="728"/>
        </w:tabs>
        <w:spacing w:after="0" w:line="240" w:lineRule="auto"/>
        <w:ind w:left="-392"/>
        <w:rPr>
          <w:rFonts w:ascii="Calibri" w:hAnsi="Calibri" w:cs="Calibri"/>
          <w:lang w:val="fr-CA"/>
        </w:rPr>
      </w:pPr>
    </w:p>
    <w:p w:rsidR="00094B90" w:rsidRPr="00094B90" w:rsidRDefault="00094B90" w:rsidP="00094B90">
      <w:pPr>
        <w:tabs>
          <w:tab w:val="left" w:pos="1940"/>
        </w:tabs>
        <w:spacing w:line="200" w:lineRule="exact"/>
        <w:ind w:left="-14"/>
        <w:rPr>
          <w:rFonts w:ascii="Calibri" w:hAnsi="Calibri" w:cs="Calibri"/>
          <w:b/>
          <w:bCs/>
          <w:lang w:val="fr-CA"/>
        </w:rPr>
      </w:pPr>
      <w:r w:rsidRPr="00094B90">
        <w:rPr>
          <w:rFonts w:ascii="Calibri" w:hAnsi="Calibri" w:cs="Calibri"/>
          <w:b/>
          <w:bCs/>
          <w:lang w:val="fr-CA"/>
        </w:rPr>
        <w:t>Évaluation du rapport d'expérience</w:t>
      </w:r>
    </w:p>
    <w:p w:rsidR="000323D2" w:rsidRDefault="00094B90" w:rsidP="00094B90">
      <w:pPr>
        <w:spacing w:after="0" w:line="240" w:lineRule="auto"/>
        <w:rPr>
          <w:rFonts w:ascii="Calibri" w:hAnsi="Calibri" w:cs="Calibri"/>
          <w:bCs/>
          <w:sz w:val="20"/>
          <w:szCs w:val="20"/>
          <w:lang w:val="fr-FR"/>
        </w:rPr>
      </w:pPr>
      <w:r w:rsidRPr="00BE2823">
        <w:rPr>
          <w:rFonts w:ascii="Calibri" w:hAnsi="Calibri" w:cs="Calibri"/>
          <w:bCs/>
          <w:sz w:val="20"/>
          <w:szCs w:val="20"/>
          <w:lang w:val="fr-FR"/>
        </w:rPr>
        <w:t>Titre de l’expérience</w:t>
      </w:r>
      <w:r>
        <w:rPr>
          <w:rFonts w:ascii="Calibri" w:hAnsi="Calibri" w:cs="Calibri"/>
          <w:bCs/>
          <w:sz w:val="20"/>
          <w:szCs w:val="20"/>
          <w:lang w:val="fr-FR"/>
        </w:rPr>
        <w:t xml:space="preserve"> : </w:t>
      </w:r>
    </w:p>
    <w:p w:rsidR="000323D2" w:rsidRPr="000323D2" w:rsidRDefault="000323D2" w:rsidP="00094B90">
      <w:pPr>
        <w:spacing w:after="0" w:line="240" w:lineRule="auto"/>
        <w:rPr>
          <w:rFonts w:ascii="Calibri" w:hAnsi="Calibri" w:cs="Calibri"/>
          <w:bCs/>
          <w:sz w:val="20"/>
          <w:szCs w:val="20"/>
          <w:lang w:val="fr-FR"/>
        </w:rPr>
      </w:pPr>
      <w:r w:rsidRPr="00BE2823">
        <w:rPr>
          <w:rFonts w:ascii="Calibri" w:hAnsi="Calibri" w:cs="Calibri"/>
          <w:bCs/>
          <w:sz w:val="20"/>
          <w:szCs w:val="20"/>
          <w:lang w:val="fr-FR"/>
        </w:rPr>
        <w:t>Membres de l’équipe :</w:t>
      </w:r>
    </w:p>
    <w:tbl>
      <w:tblPr>
        <w:tblpPr w:leftFromText="180" w:rightFromText="180" w:vertAnchor="text" w:horzAnchor="margin" w:tblpY="289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0" w:type="dxa"/>
          <w:bottom w:w="14" w:type="dxa"/>
          <w:right w:w="70" w:type="dxa"/>
        </w:tblCellMar>
        <w:tblLook w:val="0000"/>
      </w:tblPr>
      <w:tblGrid>
        <w:gridCol w:w="6307"/>
        <w:gridCol w:w="1168"/>
        <w:gridCol w:w="1204"/>
        <w:gridCol w:w="1172"/>
      </w:tblGrid>
      <w:tr w:rsidR="000323D2" w:rsidRPr="000323D2" w:rsidTr="000323D2">
        <w:trPr>
          <w:trHeight w:val="693"/>
        </w:trPr>
        <w:tc>
          <w:tcPr>
            <w:tcW w:w="6307" w:type="dxa"/>
            <w:vAlign w:val="center"/>
          </w:tcPr>
          <w:p w:rsidR="000323D2" w:rsidRPr="000323D2" w:rsidRDefault="000323D2" w:rsidP="00535DDE">
            <w:pPr>
              <w:pStyle w:val="Heading4"/>
              <w:spacing w:before="20" w:after="20" w:line="160" w:lineRule="exac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proofErr w:type="spellStart"/>
            <w:r w:rsidRPr="000323D2">
              <w:rPr>
                <w:rFonts w:ascii="Calibri" w:hAnsi="Calibri" w:cs="Calibri"/>
                <w:color w:val="000000" w:themeColor="text1"/>
                <w:sz w:val="20"/>
              </w:rPr>
              <w:t>Critères</w:t>
            </w:r>
            <w:proofErr w:type="spellEnd"/>
          </w:p>
        </w:tc>
        <w:tc>
          <w:tcPr>
            <w:tcW w:w="1168" w:type="dxa"/>
            <w:vAlign w:val="center"/>
          </w:tcPr>
          <w:p w:rsidR="000323D2" w:rsidRPr="000323D2" w:rsidRDefault="000323D2" w:rsidP="00535DDE">
            <w:pPr>
              <w:spacing w:before="20" w:after="20" w:line="160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18"/>
                <w:szCs w:val="18"/>
                <w:lang w:val="fr-FR"/>
              </w:rPr>
              <w:t xml:space="preserve">Points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fr-FR"/>
              </w:rPr>
              <w:br/>
            </w:r>
            <w:r w:rsidRPr="000323D2">
              <w:rPr>
                <w:rFonts w:ascii="Calibri" w:hAnsi="Calibri" w:cs="Calibri"/>
                <w:color w:val="000000" w:themeColor="text1"/>
                <w:sz w:val="18"/>
                <w:szCs w:val="18"/>
                <w:lang w:val="fr-FR"/>
              </w:rPr>
              <w:t>possibles*</w:t>
            </w:r>
          </w:p>
        </w:tc>
        <w:tc>
          <w:tcPr>
            <w:tcW w:w="1204" w:type="dxa"/>
            <w:vAlign w:val="center"/>
          </w:tcPr>
          <w:p w:rsidR="000323D2" w:rsidRPr="000323D2" w:rsidRDefault="000323D2" w:rsidP="00535DDE">
            <w:pPr>
              <w:spacing w:before="20" w:after="20" w:line="160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18"/>
                <w:szCs w:val="18"/>
                <w:lang w:val="fr-FR"/>
              </w:rPr>
              <w:t>Auto-évaluation</w:t>
            </w:r>
          </w:p>
        </w:tc>
        <w:tc>
          <w:tcPr>
            <w:tcW w:w="1172" w:type="dxa"/>
            <w:vAlign w:val="center"/>
          </w:tcPr>
          <w:p w:rsidR="000323D2" w:rsidRPr="000323D2" w:rsidRDefault="000323D2" w:rsidP="00535DDE">
            <w:pPr>
              <w:spacing w:before="20" w:after="20" w:line="160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color w:val="000000" w:themeColor="text1"/>
                <w:sz w:val="4"/>
                <w:szCs w:val="18"/>
                <w:lang w:val="fr-FR"/>
              </w:rPr>
              <w:br/>
            </w:r>
            <w:r w:rsidRPr="000323D2">
              <w:rPr>
                <w:rFonts w:ascii="Calibri" w:hAnsi="Calibri" w:cs="Calibri"/>
                <w:color w:val="000000" w:themeColor="text1"/>
                <w:sz w:val="18"/>
                <w:szCs w:val="18"/>
                <w:lang w:val="fr-FR"/>
              </w:rPr>
              <w:t>Évaluation par l’enseignant</w:t>
            </w:r>
          </w:p>
        </w:tc>
      </w:tr>
      <w:tr w:rsidR="000323D2" w:rsidRPr="00826955" w:rsidTr="000323D2">
        <w:tc>
          <w:tcPr>
            <w:tcW w:w="6307" w:type="dxa"/>
          </w:tcPr>
          <w:p w:rsidR="000323D2" w:rsidRPr="000323D2" w:rsidRDefault="000323D2" w:rsidP="00535DDE">
            <w:pPr>
              <w:pStyle w:val="Heading1"/>
              <w:spacing w:before="20" w:after="20" w:line="220" w:lineRule="exact"/>
              <w:rPr>
                <w:rFonts w:ascii="Calibri" w:hAnsi="Calibri" w:cs="Calibri"/>
                <w:bCs w:val="0"/>
                <w:i/>
                <w:iCs/>
                <w:color w:val="000000" w:themeColor="text1"/>
                <w:sz w:val="22"/>
                <w:szCs w:val="22"/>
                <w:lang w:val="fr-CA"/>
              </w:rPr>
            </w:pPr>
            <w:r w:rsidRPr="000323D2"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fr-CA"/>
              </w:rPr>
              <w:t>Formuler une question</w:t>
            </w:r>
          </w:p>
          <w:p w:rsidR="000323D2" w:rsidRPr="000323D2" w:rsidRDefault="000323D2" w:rsidP="00535DDE">
            <w:pPr>
              <w:numPr>
                <w:ilvl w:val="0"/>
                <w:numId w:val="47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 xml:space="preserve">la question mène à l’étude et l’objet est bien ciblé (comporte une </w:t>
            </w:r>
            <w:r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br/>
            </w: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relation de cause à effet)</w:t>
            </w:r>
          </w:p>
        </w:tc>
        <w:tc>
          <w:tcPr>
            <w:tcW w:w="1168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204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172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</w:tr>
      <w:tr w:rsidR="000323D2" w:rsidRPr="00826955" w:rsidTr="000323D2">
        <w:tc>
          <w:tcPr>
            <w:tcW w:w="6307" w:type="dxa"/>
          </w:tcPr>
          <w:p w:rsidR="000323D2" w:rsidRPr="000323D2" w:rsidRDefault="000323D2" w:rsidP="00535DDE">
            <w:pPr>
              <w:pStyle w:val="Heading1"/>
              <w:spacing w:before="20" w:after="20" w:line="220" w:lineRule="exact"/>
              <w:rPr>
                <w:rFonts w:ascii="Calibri" w:hAnsi="Calibri" w:cs="Calibri"/>
                <w:bCs w:val="0"/>
                <w:i/>
                <w:iCs/>
                <w:color w:val="000000" w:themeColor="text1"/>
                <w:sz w:val="22"/>
                <w:szCs w:val="22"/>
                <w:lang w:val="fr-CA"/>
              </w:rPr>
            </w:pPr>
            <w:r w:rsidRPr="000323D2"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fr-CA"/>
              </w:rPr>
              <w:t>Émettre une prédiction</w:t>
            </w:r>
          </w:p>
          <w:p w:rsidR="000323D2" w:rsidRPr="000323D2" w:rsidRDefault="000323D2" w:rsidP="00535DDE">
            <w:pPr>
              <w:numPr>
                <w:ilvl w:val="0"/>
                <w:numId w:val="48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les variables dépendante et indépendante sont définies</w:t>
            </w:r>
          </w:p>
          <w:p w:rsidR="000323D2" w:rsidRPr="000323D2" w:rsidRDefault="000323D2" w:rsidP="00535DDE">
            <w:pPr>
              <w:numPr>
                <w:ilvl w:val="0"/>
                <w:numId w:val="48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 xml:space="preserve">la prédiction comporte une relation de cause à effet entre les </w:t>
            </w:r>
            <w:r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br/>
            </w: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variables dépendante et indépendante</w:t>
            </w:r>
          </w:p>
        </w:tc>
        <w:tc>
          <w:tcPr>
            <w:tcW w:w="1168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204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172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</w:tr>
      <w:tr w:rsidR="000323D2" w:rsidRPr="000323D2" w:rsidTr="000323D2">
        <w:tc>
          <w:tcPr>
            <w:tcW w:w="6307" w:type="dxa"/>
          </w:tcPr>
          <w:p w:rsidR="000323D2" w:rsidRPr="000323D2" w:rsidRDefault="000323D2" w:rsidP="00535DDE">
            <w:pPr>
              <w:pStyle w:val="Heading1"/>
              <w:spacing w:before="20" w:after="20" w:line="220" w:lineRule="exact"/>
              <w:rPr>
                <w:rFonts w:ascii="Calibri" w:hAnsi="Calibri" w:cs="Calibri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3D6250"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fr-CA"/>
              </w:rPr>
              <w:t>Élaborer</w:t>
            </w:r>
            <w:r w:rsidRPr="000323D2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le plan</w:t>
            </w:r>
          </w:p>
          <w:p w:rsidR="000323D2" w:rsidRPr="000323D2" w:rsidRDefault="000323D2" w:rsidP="00535DDE">
            <w:pPr>
              <w:numPr>
                <w:ilvl w:val="0"/>
                <w:numId w:val="49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 matériel nécessaire est choisi</w:t>
            </w:r>
          </w:p>
          <w:p w:rsidR="000323D2" w:rsidRPr="000323D2" w:rsidRDefault="000323D2" w:rsidP="00535DDE">
            <w:pPr>
              <w:numPr>
                <w:ilvl w:val="0"/>
                <w:numId w:val="49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les variables à contrôler sont déterminées</w:t>
            </w:r>
          </w:p>
          <w:p w:rsidR="000323D2" w:rsidRPr="000323D2" w:rsidRDefault="000323D2" w:rsidP="00535DDE">
            <w:pPr>
              <w:numPr>
                <w:ilvl w:val="0"/>
                <w:numId w:val="49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les étapes sont énumérées et décrites clairement</w:t>
            </w:r>
          </w:p>
          <w:p w:rsidR="000323D2" w:rsidRPr="000323D2" w:rsidRDefault="000323D2" w:rsidP="00535DDE">
            <w:pPr>
              <w:numPr>
                <w:ilvl w:val="0"/>
                <w:numId w:val="49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les mesures de sécurité sont prises en compte</w:t>
            </w:r>
          </w:p>
          <w:p w:rsidR="000323D2" w:rsidRPr="000323D2" w:rsidRDefault="000323D2" w:rsidP="00535DDE">
            <w:pPr>
              <w:numPr>
                <w:ilvl w:val="0"/>
                <w:numId w:val="49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l’élimination des déchets est prévue</w:t>
            </w:r>
          </w:p>
          <w:p w:rsidR="000323D2" w:rsidRPr="000323D2" w:rsidRDefault="000323D2" w:rsidP="00535DDE">
            <w:pPr>
              <w:numPr>
                <w:ilvl w:val="0"/>
                <w:numId w:val="49"/>
              </w:numPr>
              <w:tabs>
                <w:tab w:val="left" w:pos="851"/>
              </w:tabs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 xml:space="preserve">les éléments suivants sont modifiés au besoin et une justification </w:t>
            </w:r>
            <w:r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br/>
            </w: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est fournie</w:t>
            </w:r>
            <w:r w:rsidR="0037559B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 :</w:t>
            </w:r>
          </w:p>
          <w:p w:rsidR="000323D2" w:rsidRPr="000323D2" w:rsidRDefault="000323D2" w:rsidP="00535DDE">
            <w:pPr>
              <w:numPr>
                <w:ilvl w:val="0"/>
                <w:numId w:val="53"/>
              </w:numPr>
              <w:tabs>
                <w:tab w:val="left" w:pos="709"/>
              </w:tabs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 matériel</w:t>
            </w:r>
          </w:p>
          <w:p w:rsidR="000323D2" w:rsidRPr="000323D2" w:rsidRDefault="000323D2" w:rsidP="00535DDE">
            <w:pPr>
              <w:numPr>
                <w:ilvl w:val="0"/>
                <w:numId w:val="53"/>
              </w:numPr>
              <w:tabs>
                <w:tab w:val="left" w:pos="709"/>
              </w:tabs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les variables</w:t>
            </w:r>
          </w:p>
          <w:p w:rsidR="000323D2" w:rsidRPr="000323D2" w:rsidRDefault="000323D2" w:rsidP="00535DDE">
            <w:pPr>
              <w:numPr>
                <w:ilvl w:val="0"/>
                <w:numId w:val="53"/>
              </w:numPr>
              <w:tabs>
                <w:tab w:val="left" w:pos="709"/>
              </w:tabs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les mesures de sécurité</w:t>
            </w:r>
          </w:p>
          <w:p w:rsidR="000323D2" w:rsidRPr="000323D2" w:rsidRDefault="000323D2" w:rsidP="00535DDE">
            <w:pPr>
              <w:numPr>
                <w:ilvl w:val="0"/>
                <w:numId w:val="53"/>
              </w:numPr>
              <w:tabs>
                <w:tab w:val="left" w:pos="709"/>
              </w:tabs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la démarche</w:t>
            </w:r>
          </w:p>
        </w:tc>
        <w:tc>
          <w:tcPr>
            <w:tcW w:w="1168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204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172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</w:tr>
      <w:tr w:rsidR="000323D2" w:rsidRPr="00826955" w:rsidTr="000323D2">
        <w:tc>
          <w:tcPr>
            <w:tcW w:w="6307" w:type="dxa"/>
          </w:tcPr>
          <w:p w:rsidR="000323D2" w:rsidRPr="000323D2" w:rsidRDefault="000323D2" w:rsidP="00535DDE">
            <w:pPr>
              <w:pStyle w:val="Heading1"/>
              <w:spacing w:before="20" w:after="20" w:line="220" w:lineRule="exact"/>
              <w:rPr>
                <w:rFonts w:ascii="Calibri" w:hAnsi="Calibri" w:cs="Calibri"/>
                <w:bCs w:val="0"/>
                <w:i/>
                <w:iCs/>
                <w:color w:val="000000" w:themeColor="text1"/>
                <w:sz w:val="22"/>
                <w:szCs w:val="22"/>
                <w:lang w:val="fr-CA"/>
              </w:rPr>
            </w:pPr>
            <w:r w:rsidRPr="000323D2"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fr-CA"/>
              </w:rPr>
              <w:t>Réaliser le test, observer et consigner les observations</w:t>
            </w:r>
          </w:p>
          <w:p w:rsidR="000323D2" w:rsidRPr="000323D2" w:rsidRDefault="000323D2" w:rsidP="00535DDE">
            <w:pPr>
              <w:numPr>
                <w:ilvl w:val="0"/>
                <w:numId w:val="50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l’expérience fait l’objet d’essais répétés</w:t>
            </w:r>
          </w:p>
          <w:p w:rsidR="000323D2" w:rsidRPr="000323D2" w:rsidRDefault="000323D2" w:rsidP="00535DDE">
            <w:pPr>
              <w:numPr>
                <w:ilvl w:val="0"/>
                <w:numId w:val="50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les données sont consignées en détail et avec les unités appropriées</w:t>
            </w:r>
          </w:p>
          <w:p w:rsidR="000323D2" w:rsidRPr="000323D2" w:rsidRDefault="000323D2" w:rsidP="00535DDE">
            <w:pPr>
              <w:numPr>
                <w:ilvl w:val="0"/>
                <w:numId w:val="50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les données sont consignées clairement, de façon structurée et dans un format approprié</w:t>
            </w:r>
          </w:p>
        </w:tc>
        <w:tc>
          <w:tcPr>
            <w:tcW w:w="1168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204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172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</w:tr>
      <w:tr w:rsidR="000323D2" w:rsidRPr="00826955" w:rsidTr="000323D2">
        <w:tc>
          <w:tcPr>
            <w:tcW w:w="6307" w:type="dxa"/>
          </w:tcPr>
          <w:p w:rsidR="000323D2" w:rsidRPr="003D6250" w:rsidRDefault="000323D2" w:rsidP="00535DDE">
            <w:pPr>
              <w:pStyle w:val="Heading1"/>
              <w:spacing w:before="20" w:after="20" w:line="220" w:lineRule="exact"/>
              <w:rPr>
                <w:rFonts w:ascii="Calibri" w:hAnsi="Calibri" w:cs="Calibri"/>
                <w:bCs w:val="0"/>
                <w:i/>
                <w:iCs/>
                <w:color w:val="000000" w:themeColor="text1"/>
                <w:sz w:val="22"/>
                <w:szCs w:val="22"/>
                <w:lang w:val="fr-CA"/>
              </w:rPr>
            </w:pPr>
            <w:r w:rsidRPr="003D6250"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fr-CA"/>
              </w:rPr>
              <w:t>Analyser et interpréter les résultats</w:t>
            </w:r>
          </w:p>
          <w:p w:rsidR="000323D2" w:rsidRPr="000323D2" w:rsidRDefault="000323D2" w:rsidP="00535DDE">
            <w:pPr>
              <w:numPr>
                <w:ilvl w:val="0"/>
                <w:numId w:val="51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les diagrammes sont utilisés au besoin</w:t>
            </w:r>
          </w:p>
          <w:p w:rsidR="000323D2" w:rsidRPr="000323D2" w:rsidRDefault="000323D2" w:rsidP="00535DDE">
            <w:pPr>
              <w:numPr>
                <w:ilvl w:val="0"/>
                <w:numId w:val="51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les régularités, les tendances ou les écarts sont précisés</w:t>
            </w:r>
          </w:p>
          <w:p w:rsidR="000323D2" w:rsidRPr="000323D2" w:rsidRDefault="000323D2" w:rsidP="00535DDE">
            <w:pPr>
              <w:numPr>
                <w:ilvl w:val="0"/>
                <w:numId w:val="51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 xml:space="preserve">les forces et les faiblesses de la méthode et les sources d’erreur </w:t>
            </w:r>
            <w:r w:rsidR="00535DDE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br/>
            </w: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possibles sont décrites</w:t>
            </w:r>
          </w:p>
          <w:p w:rsidR="000323D2" w:rsidRPr="000323D2" w:rsidRDefault="000323D2" w:rsidP="00535DDE">
            <w:pPr>
              <w:numPr>
                <w:ilvl w:val="0"/>
                <w:numId w:val="51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toute modification au plan initial est décrite et justifiée</w:t>
            </w:r>
          </w:p>
        </w:tc>
        <w:tc>
          <w:tcPr>
            <w:tcW w:w="1168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204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172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</w:tr>
      <w:tr w:rsidR="000323D2" w:rsidRPr="00826955" w:rsidTr="000323D2">
        <w:tc>
          <w:tcPr>
            <w:tcW w:w="6307" w:type="dxa"/>
          </w:tcPr>
          <w:p w:rsidR="000323D2" w:rsidRPr="003D6250" w:rsidRDefault="000323D2" w:rsidP="00535DDE">
            <w:pPr>
              <w:pStyle w:val="Heading1"/>
              <w:spacing w:before="20" w:after="20" w:line="220" w:lineRule="exact"/>
              <w:rPr>
                <w:rFonts w:ascii="Calibri" w:hAnsi="Calibri" w:cs="Calibri"/>
                <w:bCs w:val="0"/>
                <w:i/>
                <w:iCs/>
                <w:color w:val="000000" w:themeColor="text1"/>
                <w:sz w:val="22"/>
                <w:szCs w:val="22"/>
                <w:lang w:val="fr-CA"/>
              </w:rPr>
            </w:pPr>
            <w:r w:rsidRPr="003D6250"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fr-CA"/>
              </w:rPr>
              <w:t>Tirer une conclusion</w:t>
            </w:r>
          </w:p>
          <w:p w:rsidR="000323D2" w:rsidRPr="000323D2" w:rsidRDefault="000323D2" w:rsidP="00535DDE">
            <w:pPr>
              <w:numPr>
                <w:ilvl w:val="0"/>
                <w:numId w:val="52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la relation de cause à effet entre les variables dépendante et indépendante est expliquée</w:t>
            </w:r>
          </w:p>
          <w:p w:rsidR="000323D2" w:rsidRPr="000323D2" w:rsidRDefault="000323D2" w:rsidP="00535DDE">
            <w:pPr>
              <w:numPr>
                <w:ilvl w:val="0"/>
                <w:numId w:val="52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d’autres explications sont élaborées</w:t>
            </w:r>
          </w:p>
          <w:p w:rsidR="000323D2" w:rsidRPr="000323D2" w:rsidRDefault="000323D2" w:rsidP="00535DDE">
            <w:pPr>
              <w:numPr>
                <w:ilvl w:val="0"/>
                <w:numId w:val="52"/>
              </w:numPr>
              <w:spacing w:before="20" w:after="20" w:line="22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  <w:r w:rsidRPr="000323D2">
              <w:rPr>
                <w:rFonts w:ascii="Calibri" w:hAnsi="Calibri" w:cs="Calibri"/>
                <w:color w:val="000000" w:themeColor="text1"/>
                <w:sz w:val="20"/>
                <w:lang w:val="fr-FR"/>
              </w:rPr>
              <w:t>la prédiction s’est avérée juste ou inexacte</w:t>
            </w:r>
          </w:p>
        </w:tc>
        <w:tc>
          <w:tcPr>
            <w:tcW w:w="1168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204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172" w:type="dxa"/>
          </w:tcPr>
          <w:p w:rsidR="000323D2" w:rsidRPr="000323D2" w:rsidRDefault="000323D2" w:rsidP="00535DDE">
            <w:pPr>
              <w:spacing w:before="20" w:after="20"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</w:tr>
      <w:tr w:rsidR="000323D2" w:rsidRPr="000323D2" w:rsidTr="000323D2">
        <w:trPr>
          <w:trHeight w:val="353"/>
        </w:trPr>
        <w:tc>
          <w:tcPr>
            <w:tcW w:w="6307" w:type="dxa"/>
          </w:tcPr>
          <w:p w:rsidR="000323D2" w:rsidRPr="000323D2" w:rsidRDefault="00535DDE" w:rsidP="00535DDE">
            <w:pPr>
              <w:pStyle w:val="Heading2"/>
              <w:spacing w:before="20" w:after="20" w:line="16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br/>
            </w:r>
            <w:r w:rsidR="000323D2" w:rsidRPr="000323D2">
              <w:rPr>
                <w:rFonts w:ascii="Calibri" w:hAnsi="Calibri" w:cs="Calibri"/>
                <w:color w:val="000000" w:themeColor="text1"/>
              </w:rPr>
              <w:t>Total des points</w:t>
            </w:r>
            <w:r>
              <w:rPr>
                <w:rFonts w:ascii="Calibri" w:hAnsi="Calibri" w:cs="Calibri"/>
                <w:color w:val="000000" w:themeColor="text1"/>
              </w:rPr>
              <w:br/>
            </w:r>
          </w:p>
        </w:tc>
        <w:tc>
          <w:tcPr>
            <w:tcW w:w="1168" w:type="dxa"/>
          </w:tcPr>
          <w:p w:rsidR="000323D2" w:rsidRPr="000323D2" w:rsidRDefault="000323D2" w:rsidP="00535DDE">
            <w:pPr>
              <w:spacing w:before="20" w:after="20" w:line="16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204" w:type="dxa"/>
          </w:tcPr>
          <w:p w:rsidR="000323D2" w:rsidRPr="000323D2" w:rsidRDefault="000323D2" w:rsidP="00535DDE">
            <w:pPr>
              <w:spacing w:before="20" w:after="20" w:line="16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1172" w:type="dxa"/>
          </w:tcPr>
          <w:p w:rsidR="000323D2" w:rsidRPr="000323D2" w:rsidRDefault="000323D2" w:rsidP="00535DDE">
            <w:pPr>
              <w:spacing w:before="20" w:after="20" w:line="160" w:lineRule="exact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</w:tr>
    </w:tbl>
    <w:p w:rsidR="00AE39C0" w:rsidRDefault="00AE39C0" w:rsidP="00094B90">
      <w:pPr>
        <w:spacing w:after="0" w:line="240" w:lineRule="auto"/>
        <w:rPr>
          <w:rFonts w:ascii="Calibri" w:hAnsi="Calibri" w:cs="Calibri"/>
          <w:lang w:val="fr-CA"/>
        </w:rPr>
      </w:pPr>
    </w:p>
    <w:p w:rsidR="00AE39C0" w:rsidRPr="00AE39C0" w:rsidRDefault="00AE39C0" w:rsidP="00AE39C0">
      <w:pPr>
        <w:tabs>
          <w:tab w:val="left" w:pos="1940"/>
        </w:tabs>
        <w:spacing w:after="0"/>
        <w:ind w:left="-119"/>
        <w:rPr>
          <w:rFonts w:ascii="Calibri" w:hAnsi="Calibri" w:cs="Calibri"/>
          <w:b/>
          <w:bCs/>
          <w:sz w:val="6"/>
          <w:szCs w:val="20"/>
          <w:lang w:val="fr-CA"/>
        </w:rPr>
      </w:pPr>
    </w:p>
    <w:p w:rsidR="00792B77" w:rsidRPr="00504A03" w:rsidRDefault="0086655A" w:rsidP="00826955">
      <w:pPr>
        <w:tabs>
          <w:tab w:val="left" w:pos="1940"/>
        </w:tabs>
        <w:ind w:left="-120"/>
        <w:rPr>
          <w:rFonts w:ascii="Calibri" w:hAnsi="Calibri" w:cs="Calibri"/>
          <w:lang w:val="fr-CA"/>
        </w:rPr>
      </w:pPr>
      <w:r w:rsidRPr="0086655A">
        <w:rPr>
          <w:rFonts w:ascii="Calibri" w:hAnsi="Calibri" w:cs="Calibri"/>
          <w:b/>
          <w:bCs/>
          <w:noProof/>
          <w:sz w:val="20"/>
          <w:szCs w:val="20"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99" type="#_x0000_t202" style="position:absolute;left:0;text-align:left;margin-left:427.9pt;margin-top:24.5pt;width:62.05pt;height:23.75pt;z-index:251926016" filled="f" stroked="f">
            <v:textbox style="mso-next-textbox:#_x0000_s22399">
              <w:txbxContent>
                <w:p w:rsidR="000F1570" w:rsidRPr="006C41D8" w:rsidRDefault="000F1570" w:rsidP="00FE7D1F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E</w:t>
                  </w:r>
                </w:p>
              </w:txbxContent>
            </v:textbox>
          </v:shape>
        </w:pict>
      </w:r>
      <w:r w:rsidR="00AE39C0" w:rsidRPr="00AE39C0">
        <w:rPr>
          <w:rFonts w:ascii="Calibri" w:hAnsi="Calibri" w:cs="Calibri"/>
          <w:b/>
          <w:bCs/>
          <w:sz w:val="20"/>
          <w:szCs w:val="20"/>
          <w:lang w:val="fr-CA"/>
        </w:rPr>
        <w:t>*Remarque</w:t>
      </w:r>
      <w:r w:rsidR="00AE39C0" w:rsidRPr="00AE39C0">
        <w:rPr>
          <w:rFonts w:ascii="Calibri" w:hAnsi="Calibri" w:cs="Calibri"/>
          <w:sz w:val="20"/>
          <w:szCs w:val="20"/>
          <w:lang w:val="fr-CA"/>
        </w:rPr>
        <w:t xml:space="preserve"> : L'enseignant ou les élèves de la classe attribuent des points selon les mérites particuliers de l'expérience.</w:t>
      </w: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86655A">
    <w:pPr>
      <w:pStyle w:val="Header"/>
    </w:pPr>
    <w:r w:rsidRPr="0086655A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86655A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86655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86655A" w:rsidP="00BB51DB">
    <w:pPr>
      <w:pStyle w:val="Header"/>
      <w:ind w:firstLine="720"/>
    </w:pPr>
    <w:r w:rsidRPr="0086655A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86655A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86655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26955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5A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2">
      <o:colormenu v:ext="edit" fillcolor="none" strokecolor="none"/>
    </o:shapedefaults>
    <o:shapelayout v:ext="edit">
      <o:idmap v:ext="edit" data="1,4,6,8,10,12,14,16,19,21"/>
      <o:rules v:ext="edit">
        <o:r id="V:Rule1" type="arc" idref="#_x0000_s8370"/>
        <o:r id="V:Rule2" type="arc" idref="#_x0000_s8350"/>
        <o:r id="V:Rule3" type="arc" idref="#_x0000_s8386"/>
        <o:r id="V:Rule4" type="arc" idref="#_x0000_s8408"/>
        <o:r id="V:Rule5" type="arc" idref="#_x0000_s22026"/>
        <o:r id="V:Rule6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33B0-0E51-4595-B0BA-D83FDC88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2013-04-25T13:33:00Z</dcterms:created>
  <dcterms:modified xsi:type="dcterms:W3CDTF">2013-04-25T13:33:00Z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