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4256" w14:textId="61FB71C1" w:rsidR="000772F8" w:rsidRPr="00013DD3" w:rsidRDefault="00545C2E" w:rsidP="000772F8">
      <w:pPr>
        <w:spacing w:after="0" w:line="240" w:lineRule="auto"/>
        <w:jc w:val="center"/>
        <w:rPr>
          <w:rFonts w:cs="Arial"/>
          <w:b/>
          <w:color w:val="006699"/>
          <w:sz w:val="28"/>
          <w:szCs w:val="28"/>
        </w:rPr>
      </w:pPr>
      <w:r>
        <w:rPr>
          <w:rFonts w:cs="Arial"/>
          <w:b/>
          <w:color w:val="006699"/>
          <w:sz w:val="28"/>
          <w:szCs w:val="28"/>
        </w:rPr>
        <w:t>Le r</w:t>
      </w:r>
      <w:r w:rsidR="000772F8" w:rsidRPr="00013DD3">
        <w:rPr>
          <w:rFonts w:cs="Arial"/>
          <w:b/>
          <w:color w:val="006699"/>
          <w:sz w:val="28"/>
          <w:szCs w:val="28"/>
        </w:rPr>
        <w:t>elevé de taxes scolaire</w:t>
      </w:r>
      <w:r w:rsidR="00BC6504">
        <w:rPr>
          <w:rFonts w:cs="Arial"/>
          <w:b/>
          <w:color w:val="006699"/>
          <w:sz w:val="28"/>
          <w:szCs w:val="28"/>
        </w:rPr>
        <w:t>s</w:t>
      </w:r>
      <w:r w:rsidR="000772F8" w:rsidRPr="00013DD3">
        <w:rPr>
          <w:rFonts w:cs="Arial"/>
          <w:b/>
          <w:color w:val="006699"/>
          <w:sz w:val="28"/>
          <w:szCs w:val="28"/>
        </w:rPr>
        <w:t xml:space="preserve"> et municipales de la ville de Winnipeg</w:t>
      </w:r>
    </w:p>
    <w:p w14:paraId="3F22D339" w14:textId="276D4487" w:rsidR="00DB0A65" w:rsidRDefault="00B61BFE" w:rsidP="000772F8">
      <w:pPr>
        <w:ind w:right="-257"/>
        <w:rPr>
          <w:rStyle w:val="Hyperlink"/>
          <w:b/>
          <w:sz w:val="26"/>
          <w:szCs w:val="26"/>
        </w:rPr>
      </w:pPr>
      <w:bookmarkStart w:id="0" w:name="_GoBack"/>
      <w:r>
        <w:rPr>
          <w:noProof/>
        </w:rPr>
        <w:pict w14:anchorId="6C624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9pt;margin-top:19.3pt;width:485.35pt;height:616.15pt;z-index:-251657216;mso-position-horizontal-relative:text;mso-position-vertical-relative:text;mso-width-relative:page;mso-height-relative:page" stroked="t" strokecolor="#1f4d78 [1604]">
            <v:imagedata r:id="rId7" o:title="CoW-ResidentialPropertyTax-FR" croptop="1717f" cropbottom="14452f"/>
          </v:shape>
        </w:pict>
      </w:r>
      <w:bookmarkEnd w:id="0"/>
    </w:p>
    <w:p w14:paraId="2D66986A" w14:textId="0AF656D1" w:rsidR="000772F8" w:rsidRDefault="000772F8" w:rsidP="000772F8">
      <w:pPr>
        <w:ind w:right="-257"/>
        <w:rPr>
          <w:b/>
          <w:sz w:val="26"/>
          <w:szCs w:val="26"/>
        </w:rPr>
      </w:pPr>
    </w:p>
    <w:p w14:paraId="7646FE74" w14:textId="77777777" w:rsidR="00B61BFE" w:rsidRDefault="00B61BFE" w:rsidP="000772F8">
      <w:pPr>
        <w:ind w:right="-257"/>
        <w:rPr>
          <w:b/>
          <w:sz w:val="26"/>
          <w:szCs w:val="26"/>
        </w:rPr>
      </w:pPr>
    </w:p>
    <w:p w14:paraId="2D54AFDC" w14:textId="77777777" w:rsidR="00B61BFE" w:rsidRDefault="00B61BFE" w:rsidP="000772F8">
      <w:pPr>
        <w:ind w:right="-257"/>
        <w:rPr>
          <w:b/>
          <w:sz w:val="26"/>
          <w:szCs w:val="26"/>
        </w:rPr>
      </w:pPr>
    </w:p>
    <w:p w14:paraId="62609FA1" w14:textId="77777777" w:rsidR="00B61BFE" w:rsidRDefault="00B61BFE" w:rsidP="000772F8">
      <w:pPr>
        <w:ind w:right="-257"/>
        <w:rPr>
          <w:b/>
          <w:sz w:val="26"/>
          <w:szCs w:val="26"/>
        </w:rPr>
      </w:pPr>
    </w:p>
    <w:p w14:paraId="767413EF" w14:textId="77777777" w:rsidR="00B61BFE" w:rsidRDefault="00B61BFE" w:rsidP="000772F8">
      <w:pPr>
        <w:ind w:right="-257"/>
        <w:rPr>
          <w:b/>
          <w:sz w:val="26"/>
          <w:szCs w:val="26"/>
        </w:rPr>
      </w:pPr>
    </w:p>
    <w:p w14:paraId="033EBBDB" w14:textId="77777777" w:rsidR="00B61BFE" w:rsidRDefault="00B61BFE" w:rsidP="000772F8">
      <w:pPr>
        <w:ind w:right="-257"/>
        <w:rPr>
          <w:b/>
          <w:sz w:val="26"/>
          <w:szCs w:val="26"/>
        </w:rPr>
      </w:pPr>
    </w:p>
    <w:p w14:paraId="5AA5E20B" w14:textId="77777777" w:rsidR="00B61BFE" w:rsidRDefault="00B61BFE" w:rsidP="000772F8">
      <w:pPr>
        <w:ind w:right="-257"/>
        <w:rPr>
          <w:b/>
          <w:sz w:val="26"/>
          <w:szCs w:val="26"/>
        </w:rPr>
      </w:pPr>
    </w:p>
    <w:p w14:paraId="55315FE0" w14:textId="77777777" w:rsidR="00B61BFE" w:rsidRDefault="00B61BFE" w:rsidP="000772F8">
      <w:pPr>
        <w:ind w:right="-257"/>
        <w:rPr>
          <w:b/>
          <w:sz w:val="26"/>
          <w:szCs w:val="26"/>
        </w:rPr>
      </w:pPr>
    </w:p>
    <w:p w14:paraId="2B4CE4DB" w14:textId="53F6BD55" w:rsidR="00B61BFE" w:rsidRDefault="00B61BFE" w:rsidP="000772F8">
      <w:pPr>
        <w:ind w:right="-257"/>
        <w:rPr>
          <w:b/>
          <w:sz w:val="26"/>
          <w:szCs w:val="26"/>
        </w:rPr>
      </w:pPr>
    </w:p>
    <w:p w14:paraId="26F73621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07DECAB8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3F4C3A70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40692048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5D102F52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0219D742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7FE107F5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639A624E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25E116E5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43D0C829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72B7B2AA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0958E8DC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4AD269B7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740981F2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4C3EB035" w14:textId="77777777" w:rsidR="00B61BFE" w:rsidRDefault="00B61BFE" w:rsidP="00B61BFE">
      <w:pPr>
        <w:jc w:val="right"/>
        <w:rPr>
          <w:color w:val="1F497D"/>
          <w:sz w:val="18"/>
          <w:szCs w:val="18"/>
          <w:lang w:bidi="lo-LA"/>
        </w:rPr>
      </w:pPr>
    </w:p>
    <w:p w14:paraId="304142D1" w14:textId="77777777" w:rsidR="00B61BFE" w:rsidRPr="00B61BFE" w:rsidRDefault="00B61BFE" w:rsidP="00B61BFE">
      <w:pPr>
        <w:jc w:val="right"/>
        <w:rPr>
          <w:color w:val="1F497D"/>
          <w:sz w:val="12"/>
          <w:szCs w:val="12"/>
          <w:lang w:bidi="lo-LA"/>
        </w:rPr>
      </w:pPr>
    </w:p>
    <w:p w14:paraId="318AFEF2" w14:textId="3D4D23F9" w:rsidR="00B61BFE" w:rsidRDefault="00B61BFE" w:rsidP="00B61BFE">
      <w:pPr>
        <w:jc w:val="right"/>
        <w:rPr>
          <w:rFonts w:cs="Arial"/>
          <w:b/>
          <w:color w:val="006699"/>
          <w:sz w:val="28"/>
          <w:szCs w:val="28"/>
        </w:rPr>
      </w:pPr>
      <w:r w:rsidRPr="00B61BFE">
        <w:rPr>
          <w:sz w:val="18"/>
          <w:szCs w:val="18"/>
          <w:lang w:bidi="lo-LA"/>
        </w:rPr>
        <w:t xml:space="preserve">©2018, Ville de Winnipeg. Reproduction autorisée. </w:t>
      </w:r>
      <w:r>
        <w:rPr>
          <w:rFonts w:cs="Arial"/>
          <w:b/>
          <w:color w:val="006699"/>
          <w:sz w:val="28"/>
          <w:szCs w:val="28"/>
        </w:rPr>
        <w:br w:type="page"/>
      </w:r>
    </w:p>
    <w:p w14:paraId="0BEA7966" w14:textId="33CBEE8A" w:rsidR="000772F8" w:rsidRDefault="000772F8" w:rsidP="000772F8">
      <w:pPr>
        <w:ind w:right="-257"/>
        <w:jc w:val="center"/>
        <w:rPr>
          <w:rFonts w:cs="Arial"/>
          <w:b/>
          <w:color w:val="006699"/>
          <w:sz w:val="28"/>
          <w:szCs w:val="28"/>
        </w:rPr>
      </w:pPr>
      <w:r w:rsidRPr="00013DD3">
        <w:rPr>
          <w:rFonts w:cs="Arial"/>
          <w:b/>
          <w:color w:val="006699"/>
          <w:sz w:val="28"/>
          <w:szCs w:val="28"/>
        </w:rPr>
        <w:lastRenderedPageBreak/>
        <w:t xml:space="preserve">Les </w:t>
      </w:r>
      <w:r>
        <w:rPr>
          <w:rFonts w:cs="Arial"/>
          <w:b/>
          <w:color w:val="006699"/>
          <w:sz w:val="28"/>
          <w:szCs w:val="28"/>
        </w:rPr>
        <w:t xml:space="preserve">taxes sur les </w:t>
      </w:r>
      <w:r w:rsidRPr="00013DD3">
        <w:rPr>
          <w:rFonts w:cs="Arial"/>
          <w:b/>
          <w:color w:val="006699"/>
          <w:sz w:val="28"/>
          <w:szCs w:val="28"/>
        </w:rPr>
        <w:t>améliorations locales</w:t>
      </w:r>
    </w:p>
    <w:p w14:paraId="3D40052A" w14:textId="77777777" w:rsidR="000772F8" w:rsidRDefault="000772F8" w:rsidP="000772F8">
      <w:pPr>
        <w:ind w:right="-257"/>
        <w:jc w:val="center"/>
        <w:rPr>
          <w:rFonts w:cs="Arial"/>
          <w:b/>
          <w:color w:val="006699"/>
          <w:sz w:val="28"/>
          <w:szCs w:val="28"/>
        </w:rPr>
      </w:pPr>
    </w:p>
    <w:tbl>
      <w:tblPr>
        <w:tblpPr w:leftFromText="180" w:rightFromText="180" w:vertAnchor="tex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3"/>
        <w:gridCol w:w="1263"/>
        <w:gridCol w:w="2419"/>
      </w:tblGrid>
      <w:tr w:rsidR="000772F8" w:rsidRPr="000C7D29" w14:paraId="5952A168" w14:textId="77777777" w:rsidTr="00444DD0">
        <w:trPr>
          <w:trHeight w:val="930"/>
        </w:trPr>
        <w:tc>
          <w:tcPr>
            <w:tcW w:w="5778" w:type="dxa"/>
            <w:vAlign w:val="center"/>
          </w:tcPr>
          <w:p w14:paraId="5C12DE31" w14:textId="2768141B" w:rsidR="000772F8" w:rsidRPr="00EB7046" w:rsidRDefault="00545C2E" w:rsidP="00545C2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L’a</w:t>
            </w:r>
            <w:r w:rsidR="000772F8">
              <w:rPr>
                <w:rFonts w:ascii="Arial" w:hAnsi="Arial" w:cs="Arial"/>
                <w:b/>
                <w:u w:val="single"/>
              </w:rPr>
              <w:t>mélioration</w:t>
            </w:r>
          </w:p>
        </w:tc>
        <w:tc>
          <w:tcPr>
            <w:tcW w:w="1276" w:type="dxa"/>
            <w:vAlign w:val="center"/>
          </w:tcPr>
          <w:p w14:paraId="5AE2F802" w14:textId="63711EAD" w:rsidR="000772F8" w:rsidRPr="00EB7046" w:rsidRDefault="00545C2E" w:rsidP="00545C2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 d</w:t>
            </w:r>
            <w:r w:rsidR="000772F8" w:rsidRPr="00EB7046">
              <w:rPr>
                <w:rFonts w:ascii="Arial" w:hAnsi="Arial" w:cs="Arial"/>
                <w:b/>
                <w:u w:val="single"/>
              </w:rPr>
              <w:t>urée</w:t>
            </w:r>
          </w:p>
        </w:tc>
        <w:tc>
          <w:tcPr>
            <w:tcW w:w="2439" w:type="dxa"/>
            <w:vAlign w:val="center"/>
          </w:tcPr>
          <w:p w14:paraId="50514861" w14:textId="410C9DB5" w:rsidR="000772F8" w:rsidRPr="00EB7046" w:rsidRDefault="00545C2E" w:rsidP="00444DD0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Le t</w:t>
            </w:r>
            <w:r w:rsidR="000772F8">
              <w:rPr>
                <w:rFonts w:ascii="Arial" w:hAnsi="Arial" w:cs="Arial"/>
                <w:b/>
                <w:u w:val="single"/>
              </w:rPr>
              <w:t>aux d’amélioration</w:t>
            </w:r>
          </w:p>
        </w:tc>
      </w:tr>
      <w:tr w:rsidR="000772F8" w:rsidRPr="00E726AD" w14:paraId="46679A23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5206E966" w14:textId="43E66C36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</w:t>
            </w:r>
            <w:r w:rsidR="00BC6504">
              <w:rPr>
                <w:rFonts w:ascii="Arial" w:hAnsi="Arial" w:cs="Arial"/>
              </w:rPr>
              <w:t>evêtement en asphalte (route</w:t>
            </w:r>
            <w:r w:rsidR="000772F8" w:rsidRPr="00E726AD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6E34C6FE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10 ans</w:t>
            </w:r>
          </w:p>
        </w:tc>
        <w:tc>
          <w:tcPr>
            <w:tcW w:w="2439" w:type="dxa"/>
            <w:vAlign w:val="center"/>
          </w:tcPr>
          <w:p w14:paraId="79C2EF69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27,80</w:t>
            </w:r>
          </w:p>
        </w:tc>
      </w:tr>
      <w:tr w:rsidR="000772F8" w:rsidRPr="00E726AD" w14:paraId="72F29AB1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0F910876" w14:textId="3042105E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</w:t>
            </w:r>
            <w:r w:rsidR="000772F8" w:rsidRPr="00E726AD">
              <w:rPr>
                <w:rFonts w:ascii="Arial" w:hAnsi="Arial" w:cs="Arial"/>
              </w:rPr>
              <w:t>onstruction d’un boulevard</w:t>
            </w:r>
          </w:p>
        </w:tc>
        <w:tc>
          <w:tcPr>
            <w:tcW w:w="1276" w:type="dxa"/>
            <w:vAlign w:val="center"/>
          </w:tcPr>
          <w:p w14:paraId="49FE3EE1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3 ans</w:t>
            </w:r>
          </w:p>
        </w:tc>
        <w:tc>
          <w:tcPr>
            <w:tcW w:w="2439" w:type="dxa"/>
            <w:vAlign w:val="center"/>
          </w:tcPr>
          <w:p w14:paraId="39BF176E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13,50</w:t>
            </w:r>
          </w:p>
        </w:tc>
      </w:tr>
      <w:tr w:rsidR="000772F8" w:rsidRPr="00E726AD" w14:paraId="20A75D1A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6025804B" w14:textId="0611F3B4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</w:t>
            </w:r>
            <w:r w:rsidR="000772F8" w:rsidRPr="00E726AD">
              <w:rPr>
                <w:rFonts w:ascii="Arial" w:hAnsi="Arial" w:cs="Arial"/>
              </w:rPr>
              <w:t>rottoir en béton</w:t>
            </w:r>
          </w:p>
        </w:tc>
        <w:tc>
          <w:tcPr>
            <w:tcW w:w="1276" w:type="dxa"/>
            <w:vAlign w:val="center"/>
          </w:tcPr>
          <w:p w14:paraId="19B7B12A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5 ans</w:t>
            </w:r>
          </w:p>
        </w:tc>
        <w:tc>
          <w:tcPr>
            <w:tcW w:w="2439" w:type="dxa"/>
            <w:vAlign w:val="center"/>
          </w:tcPr>
          <w:p w14:paraId="37144BA9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12,65</w:t>
            </w:r>
          </w:p>
        </w:tc>
      </w:tr>
      <w:tr w:rsidR="000772F8" w:rsidRPr="00E726AD" w14:paraId="3025DF4C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4FAB6598" w14:textId="411B6713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</w:t>
            </w:r>
            <w:r w:rsidR="00BC6504">
              <w:rPr>
                <w:rFonts w:ascii="Arial" w:hAnsi="Arial" w:cs="Arial"/>
              </w:rPr>
              <w:t>evêtement de rue</w:t>
            </w:r>
            <w:r w:rsidR="000772F8" w:rsidRPr="00E726AD">
              <w:rPr>
                <w:rFonts w:ascii="Arial" w:hAnsi="Arial" w:cs="Arial"/>
              </w:rPr>
              <w:t xml:space="preserve"> en béton</w:t>
            </w:r>
          </w:p>
        </w:tc>
        <w:tc>
          <w:tcPr>
            <w:tcW w:w="1276" w:type="dxa"/>
            <w:vAlign w:val="center"/>
          </w:tcPr>
          <w:p w14:paraId="7D654611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10 ans</w:t>
            </w:r>
          </w:p>
        </w:tc>
        <w:tc>
          <w:tcPr>
            <w:tcW w:w="2439" w:type="dxa"/>
            <w:vAlign w:val="center"/>
          </w:tcPr>
          <w:p w14:paraId="313DEFD0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44,23</w:t>
            </w:r>
          </w:p>
        </w:tc>
      </w:tr>
      <w:tr w:rsidR="000772F8" w:rsidRPr="00E726AD" w14:paraId="7378D1BC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37F42D31" w14:textId="235F43C9" w:rsidR="000772F8" w:rsidRPr="00E726AD" w:rsidRDefault="00545C2E" w:rsidP="00BC65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n</w:t>
            </w:r>
            <w:r w:rsidR="000772F8" w:rsidRPr="00E726AD">
              <w:rPr>
                <w:rFonts w:ascii="Arial" w:hAnsi="Arial" w:cs="Arial"/>
              </w:rPr>
              <w:t>ivellement de</w:t>
            </w:r>
            <w:r w:rsidR="00BC6504">
              <w:rPr>
                <w:rFonts w:ascii="Arial" w:hAnsi="Arial" w:cs="Arial"/>
              </w:rPr>
              <w:t xml:space="preserve"> ruelle</w:t>
            </w:r>
          </w:p>
        </w:tc>
        <w:tc>
          <w:tcPr>
            <w:tcW w:w="1276" w:type="dxa"/>
            <w:vAlign w:val="center"/>
          </w:tcPr>
          <w:p w14:paraId="2D768EB0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3 ans</w:t>
            </w:r>
          </w:p>
        </w:tc>
        <w:tc>
          <w:tcPr>
            <w:tcW w:w="2439" w:type="dxa"/>
            <w:vAlign w:val="center"/>
          </w:tcPr>
          <w:p w14:paraId="384CC044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12,49</w:t>
            </w:r>
          </w:p>
        </w:tc>
      </w:tr>
      <w:tr w:rsidR="000772F8" w:rsidRPr="00E726AD" w14:paraId="77300E40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7D12FBC0" w14:textId="392B584B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L’é</w:t>
            </w:r>
            <w:r w:rsidR="00BC6504">
              <w:rPr>
                <w:rFonts w:ascii="Arial" w:hAnsi="Arial" w:cs="Arial"/>
              </w:rPr>
              <w:t>clairage de ruelle</w:t>
            </w:r>
          </w:p>
        </w:tc>
        <w:tc>
          <w:tcPr>
            <w:tcW w:w="1276" w:type="dxa"/>
            <w:vAlign w:val="center"/>
          </w:tcPr>
          <w:p w14:paraId="5C50E8AA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3 ans</w:t>
            </w:r>
          </w:p>
        </w:tc>
        <w:tc>
          <w:tcPr>
            <w:tcW w:w="2439" w:type="dxa"/>
            <w:vAlign w:val="center"/>
          </w:tcPr>
          <w:p w14:paraId="26FA9B99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3,57</w:t>
            </w:r>
          </w:p>
        </w:tc>
      </w:tr>
      <w:tr w:rsidR="000772F8" w:rsidRPr="00E726AD" w14:paraId="06E6C78B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099FAD02" w14:textId="4EF1BAD4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</w:t>
            </w:r>
            <w:r w:rsidR="00BC6504">
              <w:rPr>
                <w:rFonts w:ascii="Arial" w:hAnsi="Arial" w:cs="Arial"/>
              </w:rPr>
              <w:t>evêtement d’huile de ruelle</w:t>
            </w:r>
          </w:p>
        </w:tc>
        <w:tc>
          <w:tcPr>
            <w:tcW w:w="1276" w:type="dxa"/>
            <w:vAlign w:val="center"/>
          </w:tcPr>
          <w:p w14:paraId="4DBCCDAA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1 an</w:t>
            </w:r>
          </w:p>
        </w:tc>
        <w:tc>
          <w:tcPr>
            <w:tcW w:w="2439" w:type="dxa"/>
            <w:vAlign w:val="center"/>
          </w:tcPr>
          <w:p w14:paraId="5F2AC57A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17,10</w:t>
            </w:r>
          </w:p>
        </w:tc>
      </w:tr>
      <w:tr w:rsidR="000772F8" w:rsidRPr="00E726AD" w14:paraId="7146E689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5E81DA63" w14:textId="73C4E66A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</w:t>
            </w:r>
            <w:r w:rsidR="00BC6504">
              <w:rPr>
                <w:rFonts w:ascii="Arial" w:hAnsi="Arial" w:cs="Arial"/>
              </w:rPr>
              <w:t>avage de ruelle</w:t>
            </w:r>
          </w:p>
        </w:tc>
        <w:tc>
          <w:tcPr>
            <w:tcW w:w="1276" w:type="dxa"/>
            <w:vAlign w:val="center"/>
          </w:tcPr>
          <w:p w14:paraId="36A3FF54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10 ans</w:t>
            </w:r>
          </w:p>
        </w:tc>
        <w:tc>
          <w:tcPr>
            <w:tcW w:w="2439" w:type="dxa"/>
            <w:vAlign w:val="center"/>
          </w:tcPr>
          <w:p w14:paraId="4C86FA8E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8,40</w:t>
            </w:r>
          </w:p>
        </w:tc>
      </w:tr>
      <w:tr w:rsidR="000772F8" w:rsidRPr="00E726AD" w14:paraId="6BCE05FF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48070483" w14:textId="485E345F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</w:t>
            </w:r>
            <w:r w:rsidR="000772F8" w:rsidRPr="00E726AD">
              <w:rPr>
                <w:rFonts w:ascii="Arial" w:hAnsi="Arial" w:cs="Arial"/>
              </w:rPr>
              <w:t>ispositifs</w:t>
            </w:r>
            <w:r w:rsidR="00BC6504">
              <w:rPr>
                <w:rFonts w:ascii="Arial" w:hAnsi="Arial" w:cs="Arial"/>
              </w:rPr>
              <w:t xml:space="preserve"> d’éclairage décoratifs (ruelle</w:t>
            </w:r>
            <w:r w:rsidR="000772F8" w:rsidRPr="00E726AD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50450169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3 ans</w:t>
            </w:r>
          </w:p>
        </w:tc>
        <w:tc>
          <w:tcPr>
            <w:tcW w:w="2439" w:type="dxa"/>
            <w:vAlign w:val="center"/>
          </w:tcPr>
          <w:p w14:paraId="02540199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10,71</w:t>
            </w:r>
          </w:p>
        </w:tc>
      </w:tr>
      <w:tr w:rsidR="000772F8" w:rsidRPr="00E726AD" w14:paraId="21695562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59C9096A" w14:textId="180B4A21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</w:t>
            </w:r>
            <w:r w:rsidR="000772F8" w:rsidRPr="00E726AD">
              <w:rPr>
                <w:rFonts w:ascii="Arial" w:hAnsi="Arial" w:cs="Arial"/>
              </w:rPr>
              <w:t>isposit</w:t>
            </w:r>
            <w:r w:rsidR="00BC6504">
              <w:rPr>
                <w:rFonts w:ascii="Arial" w:hAnsi="Arial" w:cs="Arial"/>
              </w:rPr>
              <w:t>ifs d’éclairage décoratifs (rue</w:t>
            </w:r>
            <w:r w:rsidR="000772F8" w:rsidRPr="00E726AD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107B0925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3 ans</w:t>
            </w:r>
          </w:p>
        </w:tc>
        <w:tc>
          <w:tcPr>
            <w:tcW w:w="2439" w:type="dxa"/>
            <w:vAlign w:val="center"/>
          </w:tcPr>
          <w:p w14:paraId="5B1A778D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14,28</w:t>
            </w:r>
          </w:p>
        </w:tc>
      </w:tr>
      <w:tr w:rsidR="000772F8" w:rsidRPr="00E726AD" w14:paraId="58998A26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60FD5F6D" w14:textId="5F4BCA3E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re</w:t>
            </w:r>
            <w:r w:rsidR="00BC6504">
              <w:rPr>
                <w:rFonts w:ascii="Arial" w:hAnsi="Arial" w:cs="Arial"/>
              </w:rPr>
              <w:t>vêtement d’huile de route</w:t>
            </w:r>
          </w:p>
        </w:tc>
        <w:tc>
          <w:tcPr>
            <w:tcW w:w="1276" w:type="dxa"/>
            <w:vAlign w:val="center"/>
          </w:tcPr>
          <w:p w14:paraId="7342B5BB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1 an</w:t>
            </w:r>
          </w:p>
        </w:tc>
        <w:tc>
          <w:tcPr>
            <w:tcW w:w="2439" w:type="dxa"/>
            <w:vAlign w:val="center"/>
          </w:tcPr>
          <w:p w14:paraId="6142BEAB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</w:tr>
      <w:tr w:rsidR="000772F8" w:rsidRPr="00E726AD" w14:paraId="47542AB8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1555C074" w14:textId="18568D91" w:rsidR="000772F8" w:rsidRPr="00E726AD" w:rsidRDefault="00545C2E" w:rsidP="00545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</w:t>
            </w:r>
            <w:r w:rsidR="000772F8" w:rsidRPr="00E726AD">
              <w:rPr>
                <w:rFonts w:ascii="Arial" w:hAnsi="Arial" w:cs="Arial"/>
              </w:rPr>
              <w:t>éfection des égouts</w:t>
            </w:r>
          </w:p>
        </w:tc>
        <w:tc>
          <w:tcPr>
            <w:tcW w:w="1276" w:type="dxa"/>
            <w:vAlign w:val="center"/>
          </w:tcPr>
          <w:p w14:paraId="15C4E428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20 ans</w:t>
            </w:r>
          </w:p>
        </w:tc>
        <w:tc>
          <w:tcPr>
            <w:tcW w:w="2439" w:type="dxa"/>
            <w:vAlign w:val="center"/>
          </w:tcPr>
          <w:p w14:paraId="3D7186FB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0772F8" w:rsidRPr="00E726AD" w14:paraId="626BF9B7" w14:textId="77777777" w:rsidTr="00444DD0">
        <w:trPr>
          <w:trHeight w:val="510"/>
        </w:trPr>
        <w:tc>
          <w:tcPr>
            <w:tcW w:w="5778" w:type="dxa"/>
            <w:vAlign w:val="center"/>
          </w:tcPr>
          <w:p w14:paraId="02F79F07" w14:textId="17D59E26" w:rsidR="000772F8" w:rsidRPr="00E726AD" w:rsidRDefault="00545C2E" w:rsidP="00444D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</w:t>
            </w:r>
            <w:r w:rsidR="000772F8" w:rsidRPr="00E726AD">
              <w:rPr>
                <w:rFonts w:ascii="Arial" w:hAnsi="Arial" w:cs="Arial"/>
              </w:rPr>
              <w:t>nstallation d’une conduite principale</w:t>
            </w:r>
          </w:p>
        </w:tc>
        <w:tc>
          <w:tcPr>
            <w:tcW w:w="1276" w:type="dxa"/>
            <w:vAlign w:val="center"/>
          </w:tcPr>
          <w:p w14:paraId="709C7C46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6AD">
              <w:rPr>
                <w:rFonts w:ascii="Arial" w:hAnsi="Arial" w:cs="Arial"/>
              </w:rPr>
              <w:t>10 ans</w:t>
            </w:r>
          </w:p>
        </w:tc>
        <w:tc>
          <w:tcPr>
            <w:tcW w:w="2439" w:type="dxa"/>
            <w:vAlign w:val="center"/>
          </w:tcPr>
          <w:p w14:paraId="3E587421" w14:textId="77777777" w:rsidR="000772F8" w:rsidRPr="00E726AD" w:rsidRDefault="000772F8" w:rsidP="00444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12,26</w:t>
            </w:r>
          </w:p>
        </w:tc>
      </w:tr>
    </w:tbl>
    <w:p w14:paraId="6357D89D" w14:textId="77777777" w:rsidR="000772F8" w:rsidRDefault="000772F8" w:rsidP="000772F8">
      <w:pPr>
        <w:ind w:right="-257"/>
        <w:rPr>
          <w:rFonts w:cs="Arial"/>
          <w:b/>
          <w:color w:val="006699"/>
          <w:sz w:val="28"/>
          <w:szCs w:val="28"/>
        </w:rPr>
      </w:pPr>
    </w:p>
    <w:p w14:paraId="3C1DF7E5" w14:textId="77777777" w:rsidR="000772F8" w:rsidRPr="00013DD3" w:rsidRDefault="000772F8" w:rsidP="000772F8">
      <w:pPr>
        <w:ind w:right="-257"/>
        <w:rPr>
          <w:rFonts w:cs="Arial"/>
          <w:b/>
          <w:color w:val="006699"/>
          <w:sz w:val="28"/>
          <w:szCs w:val="28"/>
        </w:rPr>
      </w:pPr>
    </w:p>
    <w:p w14:paraId="6CFAB586" w14:textId="64BBE581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1760737C" w14:textId="6A3B2BEB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7B10C855" w14:textId="4DE26FA5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02E1F612" w14:textId="31A9BDF2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57E8C99A" w14:textId="188AFDE0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273A478E" w14:textId="01D7C983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4E5A5F89" w14:textId="7C0FE668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09071A3F" w14:textId="70869D1A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7745F3D1" w14:textId="51A77F0D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21C205BE" w14:textId="2B6312B5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12D16493" w14:textId="060C256F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1B04D87C" w14:textId="77777777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126D733C" w14:textId="77777777" w:rsidR="000772F8" w:rsidRDefault="000772F8" w:rsidP="000B6833">
      <w:pPr>
        <w:spacing w:after="0" w:line="240" w:lineRule="auto"/>
        <w:jc w:val="center"/>
        <w:rPr>
          <w:rFonts w:cs="Arial"/>
          <w:b/>
          <w:color w:val="006699"/>
          <w:sz w:val="24"/>
          <w:szCs w:val="24"/>
        </w:rPr>
      </w:pPr>
    </w:p>
    <w:p w14:paraId="2418BE21" w14:textId="21600CF6" w:rsidR="000B6833" w:rsidRPr="000772F8" w:rsidRDefault="00545C2E" w:rsidP="000B6833">
      <w:pPr>
        <w:spacing w:after="0" w:line="240" w:lineRule="auto"/>
        <w:jc w:val="center"/>
        <w:rPr>
          <w:rFonts w:cs="Arial"/>
          <w:b/>
          <w:color w:val="006699"/>
          <w:sz w:val="28"/>
          <w:szCs w:val="28"/>
        </w:rPr>
      </w:pPr>
      <w:r>
        <w:rPr>
          <w:rFonts w:cs="Arial"/>
          <w:b/>
          <w:color w:val="006699"/>
          <w:sz w:val="28"/>
          <w:szCs w:val="28"/>
        </w:rPr>
        <w:t>Les calculs</w:t>
      </w:r>
      <w:r w:rsidR="000B6833" w:rsidRPr="000772F8">
        <w:rPr>
          <w:rFonts w:cs="Arial"/>
          <w:b/>
          <w:color w:val="006699"/>
          <w:sz w:val="28"/>
          <w:szCs w:val="28"/>
        </w:rPr>
        <w:t xml:space="preserve"> </w:t>
      </w:r>
      <w:r>
        <w:rPr>
          <w:rFonts w:cs="Arial"/>
          <w:b/>
          <w:color w:val="006699"/>
          <w:sz w:val="28"/>
          <w:szCs w:val="28"/>
        </w:rPr>
        <w:t>d</w:t>
      </w:r>
      <w:r w:rsidR="000B6833" w:rsidRPr="000772F8">
        <w:rPr>
          <w:rFonts w:cs="Arial"/>
          <w:b/>
          <w:color w:val="006699"/>
          <w:sz w:val="28"/>
          <w:szCs w:val="28"/>
        </w:rPr>
        <w:t>es impôts fonciers</w:t>
      </w:r>
    </w:p>
    <w:p w14:paraId="6442B8F3" w14:textId="77777777" w:rsidR="000B6833" w:rsidRPr="00A00D61" w:rsidRDefault="000B6833" w:rsidP="000B6833">
      <w:pPr>
        <w:spacing w:after="0" w:line="20" w:lineRule="atLeast"/>
        <w:rPr>
          <w:rFonts w:cs="Arial"/>
          <w:b/>
        </w:rPr>
      </w:pPr>
    </w:p>
    <w:p w14:paraId="6EBE2E9F" w14:textId="77777777" w:rsidR="000B6833" w:rsidRPr="00A00D61" w:rsidRDefault="000B6833" w:rsidP="000B6833">
      <w:pPr>
        <w:spacing w:after="0" w:line="20" w:lineRule="atLeast"/>
        <w:rPr>
          <w:rFonts w:cs="Arial"/>
          <w:b/>
        </w:rPr>
      </w:pPr>
    </w:p>
    <w:p w14:paraId="110F7CA1" w14:textId="77777777" w:rsidR="000B6833" w:rsidRPr="00A00D61" w:rsidRDefault="000B6833" w:rsidP="000B6833">
      <w:pPr>
        <w:spacing w:after="0" w:line="20" w:lineRule="atLeast"/>
        <w:rPr>
          <w:rFonts w:cs="Arial"/>
          <w:b/>
        </w:rPr>
      </w:pPr>
    </w:p>
    <w:p w14:paraId="1A2CF180" w14:textId="2CFD65FB" w:rsidR="000B6833" w:rsidRPr="00A00D61" w:rsidRDefault="000B6833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>
        <w:rPr>
          <w:rFonts w:cs="Arial"/>
          <w:b/>
        </w:rPr>
        <w:t>La valeur fractionnée</w:t>
      </w:r>
    </w:p>
    <w:p w14:paraId="07F7A9D6" w14:textId="77777777" w:rsidR="00013DD3" w:rsidRPr="00013DD3" w:rsidRDefault="00013DD3" w:rsidP="000B6833">
      <w:pPr>
        <w:pStyle w:val="ListParagraph"/>
        <w:spacing w:before="160" w:after="160" w:line="20" w:lineRule="atLeast"/>
        <w:ind w:left="0"/>
        <w:rPr>
          <w:rFonts w:eastAsiaTheme="minorEastAsia" w:cs="Arial"/>
          <w:sz w:val="20"/>
          <w:lang w:val="fr-CA"/>
        </w:rPr>
      </w:pPr>
    </w:p>
    <w:p w14:paraId="49397A24" w14:textId="76BCE99C" w:rsidR="000B6833" w:rsidRPr="00BF10B1" w:rsidRDefault="000B6833" w:rsidP="00BF10B1">
      <w:pPr>
        <w:pStyle w:val="ListParagraph"/>
        <w:spacing w:before="160" w:after="160" w:line="20" w:lineRule="atLeast"/>
        <w:ind w:left="0"/>
        <w:rPr>
          <w:rFonts w:cs="Arial"/>
          <w:i/>
          <w:lang w:val="fr-C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 xml:space="preserve">la valeur fractionnée=la valeur imposable </m:t>
          </m:r>
          <m:r>
            <w:rPr>
              <w:rFonts w:ascii="Cambria Math" w:eastAsiaTheme="minorEastAsia" w:hAnsi="Cambria Math" w:cs="Arial"/>
              <w:sz w:val="20"/>
              <w:lang w:val="fr-CA"/>
            </w:rPr>
            <m:t>×</m:t>
          </m:r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 xml:space="preserve"> le taux d'imposition</m:t>
          </m:r>
        </m:oMath>
      </m:oMathPara>
    </w:p>
    <w:p w14:paraId="3D0F8B39" w14:textId="3594CE45" w:rsidR="000B6833" w:rsidRDefault="000B6833" w:rsidP="000B6833">
      <w:pPr>
        <w:pStyle w:val="ListParagraph"/>
        <w:spacing w:before="160" w:after="160" w:line="20" w:lineRule="atLeast"/>
        <w:ind w:left="360"/>
        <w:rPr>
          <w:rFonts w:cs="Arial"/>
          <w:lang w:val="fr-CA"/>
        </w:rPr>
      </w:pPr>
    </w:p>
    <w:p w14:paraId="28B9FD64" w14:textId="77777777" w:rsidR="00BF10B1" w:rsidRDefault="00BF10B1" w:rsidP="000B6833">
      <w:pPr>
        <w:pStyle w:val="ListParagraph"/>
        <w:spacing w:before="160" w:after="160" w:line="20" w:lineRule="atLeast"/>
        <w:ind w:left="360"/>
        <w:rPr>
          <w:rFonts w:cs="Arial"/>
          <w:lang w:val="fr-CA"/>
        </w:rPr>
      </w:pPr>
    </w:p>
    <w:p w14:paraId="3F816F14" w14:textId="6067753E" w:rsidR="00013DD3" w:rsidRPr="00BF10B1" w:rsidRDefault="00545C2E" w:rsidP="00545C2E">
      <w:pPr>
        <w:pStyle w:val="ListParagraph"/>
        <w:spacing w:before="160" w:after="160" w:line="20" w:lineRule="atLeast"/>
        <w:ind w:left="0"/>
        <w:rPr>
          <w:rFonts w:ascii="Cambria Math" w:hAnsi="Cambria Math" w:cs="Arial"/>
          <w:sz w:val="20"/>
          <w:lang w:val="fr-CA"/>
        </w:rPr>
      </w:pPr>
      <w:r w:rsidRPr="00BC6504">
        <w:rPr>
          <w:rFonts w:ascii="Cambria Math" w:hAnsi="Cambria Math" w:cs="Arial"/>
          <w:b/>
          <w:sz w:val="20"/>
          <w:lang w:val="fr-CA"/>
        </w:rPr>
        <w:t>N</w:t>
      </w:r>
      <w:r w:rsidR="00BC6504">
        <w:rPr>
          <w:rFonts w:ascii="Cambria Math" w:hAnsi="Cambria Math" w:cs="Arial"/>
          <w:b/>
          <w:sz w:val="20"/>
          <w:lang w:val="fr-CA"/>
        </w:rPr>
        <w:t>.</w:t>
      </w:r>
      <w:r w:rsidRPr="00BC6504">
        <w:rPr>
          <w:rFonts w:ascii="Cambria Math" w:hAnsi="Cambria Math" w:cs="Arial"/>
          <w:b/>
          <w:sz w:val="20"/>
          <w:lang w:val="fr-CA"/>
        </w:rPr>
        <w:t>B</w:t>
      </w:r>
      <w:r w:rsidR="00BC6504">
        <w:rPr>
          <w:rFonts w:ascii="Cambria Math" w:hAnsi="Cambria Math" w:cs="Arial"/>
          <w:b/>
          <w:sz w:val="20"/>
          <w:lang w:val="fr-CA"/>
        </w:rPr>
        <w:t>.</w:t>
      </w:r>
      <w:r>
        <w:rPr>
          <w:rFonts w:ascii="Cambria Math" w:hAnsi="Cambria Math" w:cs="Arial"/>
          <w:sz w:val="20"/>
          <w:lang w:val="fr-CA"/>
        </w:rPr>
        <w:t xml:space="preserve"> : </w:t>
      </w:r>
      <w:r w:rsidR="000B6833" w:rsidRPr="000B6833">
        <w:rPr>
          <w:rFonts w:ascii="Cambria Math" w:hAnsi="Cambria Math" w:cs="Arial"/>
          <w:sz w:val="20"/>
          <w:lang w:val="fr-CA"/>
        </w:rPr>
        <w:t xml:space="preserve">La </w:t>
      </w:r>
      <w:r w:rsidR="000B6833" w:rsidRPr="00545C2E">
        <w:rPr>
          <w:rFonts w:ascii="Cambria Math" w:hAnsi="Cambria Math" w:cs="Arial"/>
          <w:sz w:val="20"/>
          <w:lang w:val="fr-CA"/>
        </w:rPr>
        <w:t>valeur imposable</w:t>
      </w:r>
      <w:r w:rsidR="000B6833" w:rsidRPr="000B6833">
        <w:rPr>
          <w:rFonts w:ascii="Cambria Math" w:hAnsi="Cambria Math" w:cs="Arial"/>
          <w:sz w:val="20"/>
          <w:lang w:val="fr-CA"/>
        </w:rPr>
        <w:t xml:space="preserve"> est la valeur combinée du terrain et du bâtiment</w:t>
      </w:r>
      <w:r>
        <w:rPr>
          <w:rFonts w:ascii="Cambria Math" w:hAnsi="Cambria Math" w:cs="Arial"/>
          <w:sz w:val="20"/>
          <w:lang w:val="fr-CA"/>
        </w:rPr>
        <w:t>.</w:t>
      </w:r>
    </w:p>
    <w:p w14:paraId="466F0F10" w14:textId="51582E5B" w:rsidR="00013DD3" w:rsidRDefault="00013DD3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</w:p>
    <w:p w14:paraId="3EF735AC" w14:textId="77777777" w:rsidR="00BF10B1" w:rsidRDefault="00BF10B1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</w:p>
    <w:p w14:paraId="185CE2E0" w14:textId="5C8070AA" w:rsidR="000B6833" w:rsidRPr="00A00D61" w:rsidRDefault="000B6833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>
        <w:rPr>
          <w:rFonts w:cs="Arial"/>
          <w:b/>
        </w:rPr>
        <w:t>Le total des taxes scolaires</w:t>
      </w:r>
    </w:p>
    <w:p w14:paraId="4FC118A9" w14:textId="77777777" w:rsidR="00013DD3" w:rsidRPr="00013DD3" w:rsidRDefault="00013DD3" w:rsidP="000B6833">
      <w:pPr>
        <w:spacing w:before="160" w:after="160" w:line="20" w:lineRule="atLeast"/>
        <w:ind w:right="-999"/>
        <w:rPr>
          <w:rFonts w:eastAsiaTheme="minorEastAsia" w:cs="Arial"/>
          <w:sz w:val="20"/>
        </w:rPr>
      </w:pPr>
    </w:p>
    <w:p w14:paraId="3E7864B2" w14:textId="61A7A9AB" w:rsidR="000B6833" w:rsidRPr="00BF10B1" w:rsidRDefault="000B6833" w:rsidP="00BF10B1">
      <w:pPr>
        <w:spacing w:before="160" w:after="160" w:line="20" w:lineRule="atLeast"/>
        <w:ind w:left="2124" w:right="-999"/>
        <w:rPr>
          <w:rFonts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0"/>
            </w:rPr>
            <m:t>les taxes scolaires=</m:t>
          </m:r>
          <m:f>
            <m:fPr>
              <m:ctrlPr>
                <w:rPr>
                  <w:rFonts w:ascii="Cambria Math" w:hAnsi="Cambria Math" w:cs="Arial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la valeur frationnée</m:t>
              </m:r>
            </m:num>
            <m:den>
              <m:r>
                <w:rPr>
                  <w:rFonts w:ascii="Cambria Math" w:hAnsi="Cambria Math" w:cs="Arial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 × le taux par mille </m:t>
          </m:r>
        </m:oMath>
      </m:oMathPara>
    </w:p>
    <w:p w14:paraId="2BBBD8C8" w14:textId="77777777" w:rsidR="000B6833" w:rsidRPr="00A00D61" w:rsidRDefault="000B6833" w:rsidP="000B6833">
      <w:pPr>
        <w:pStyle w:val="ListParagraph"/>
        <w:spacing w:before="160" w:after="160" w:line="20" w:lineRule="atLeast"/>
        <w:ind w:left="360"/>
        <w:rPr>
          <w:rFonts w:cs="Arial"/>
          <w:lang w:val="fr-CA"/>
        </w:rPr>
      </w:pPr>
    </w:p>
    <w:p w14:paraId="2CE29E47" w14:textId="77777777" w:rsidR="00013DD3" w:rsidRDefault="00013DD3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</w:p>
    <w:p w14:paraId="60783B82" w14:textId="2DA1A278" w:rsidR="000B6833" w:rsidRPr="00A00D61" w:rsidRDefault="008B515C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>
        <w:rPr>
          <w:rFonts w:cs="Arial"/>
          <w:b/>
        </w:rPr>
        <w:t>Le total des taxes municipales</w:t>
      </w:r>
    </w:p>
    <w:p w14:paraId="3AFB3DAE" w14:textId="77777777" w:rsidR="00013DD3" w:rsidRPr="00013DD3" w:rsidRDefault="00013DD3" w:rsidP="000B6833">
      <w:pPr>
        <w:pStyle w:val="ListParagraph"/>
        <w:spacing w:before="160" w:after="160" w:line="20" w:lineRule="atLeast"/>
        <w:ind w:left="0" w:right="-999"/>
        <w:rPr>
          <w:rFonts w:eastAsiaTheme="minorEastAsia" w:cs="Arial"/>
          <w:sz w:val="20"/>
          <w:lang w:val="fr-CA"/>
        </w:rPr>
      </w:pPr>
    </w:p>
    <w:p w14:paraId="0AFC1B57" w14:textId="4CA3D246" w:rsidR="00BF10B1" w:rsidRPr="00BF10B1" w:rsidRDefault="008B515C" w:rsidP="000B6833">
      <w:pPr>
        <w:pStyle w:val="ListParagraph"/>
        <w:spacing w:before="160" w:after="160" w:line="20" w:lineRule="atLeast"/>
        <w:ind w:left="0" w:right="-999"/>
        <w:rPr>
          <w:rFonts w:eastAsiaTheme="minorEastAsia" w:cs="Arial"/>
          <w:sz w:val="20"/>
          <w:lang w:val="fr-C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>les taxes municipales=</m:t>
          </m:r>
        </m:oMath>
      </m:oMathPara>
    </w:p>
    <w:p w14:paraId="43C69B63" w14:textId="77777777" w:rsidR="00BF10B1" w:rsidRPr="00BF10B1" w:rsidRDefault="00BF10B1" w:rsidP="000B6833">
      <w:pPr>
        <w:pStyle w:val="ListParagraph"/>
        <w:spacing w:before="160" w:after="160" w:line="20" w:lineRule="atLeast"/>
        <w:ind w:left="0" w:right="-999"/>
        <w:rPr>
          <w:rFonts w:eastAsiaTheme="minorEastAsia" w:cs="Arial"/>
          <w:sz w:val="20"/>
          <w:lang w:val="fr-CA"/>
        </w:rPr>
      </w:pPr>
    </w:p>
    <w:p w14:paraId="7F8FD5AC" w14:textId="35764CFA" w:rsidR="000B6833" w:rsidRPr="00BF10B1" w:rsidRDefault="00037E48" w:rsidP="00BF10B1">
      <w:pPr>
        <w:pStyle w:val="ListParagraph"/>
        <w:spacing w:before="160" w:after="160" w:line="20" w:lineRule="atLeast"/>
        <w:ind w:left="708" w:right="-999"/>
        <w:rPr>
          <w:rFonts w:eastAsiaTheme="minorEastAsia" w:cs="Arial"/>
          <w:sz w:val="20"/>
          <w:lang w:val="fr-C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sz w:val="20"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 w:val="20"/>
                      <w:lang w:val="fr-C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lang w:val="fr-CA"/>
                    </w:rPr>
                    <m:t>la valeur fractionnée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lang w:val="fr-CA"/>
                    </w:rPr>
                    <m:t>1000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lang w:val="fr-CA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val="fr-CA"/>
                </w:rPr>
                <m:t>le taux par mille</m:t>
              </m:r>
            </m:e>
          </m:d>
          <m:r>
            <w:rPr>
              <w:rFonts w:ascii="Cambria Math" w:hAnsi="Cambria Math" w:cs="Arial"/>
              <w:sz w:val="20"/>
              <w:lang w:val="fr-CA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lang w:val="fr-C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lang w:val="fr-CA"/>
                </w:rPr>
                <m:t>la longueur de la façade×le taux d'amélioration</m:t>
              </m:r>
            </m:e>
          </m:d>
        </m:oMath>
      </m:oMathPara>
    </w:p>
    <w:p w14:paraId="1BF65947" w14:textId="54CBC691" w:rsidR="008B515C" w:rsidRDefault="008B515C" w:rsidP="000B6833">
      <w:pPr>
        <w:pStyle w:val="ListParagraph"/>
        <w:spacing w:before="160" w:after="160" w:line="20" w:lineRule="atLeast"/>
        <w:ind w:left="0" w:right="-999"/>
        <w:rPr>
          <w:rFonts w:eastAsiaTheme="minorEastAsia" w:cs="Arial"/>
          <w:sz w:val="20"/>
          <w:lang w:val="fr-CA"/>
        </w:rPr>
      </w:pPr>
    </w:p>
    <w:p w14:paraId="197A89D2" w14:textId="77777777" w:rsidR="00013DD3" w:rsidRDefault="00013DD3" w:rsidP="00013DD3">
      <w:pPr>
        <w:pStyle w:val="ListParagraph"/>
        <w:spacing w:before="160" w:after="160" w:line="20" w:lineRule="atLeast"/>
        <w:ind w:left="0" w:right="-999"/>
        <w:rPr>
          <w:rFonts w:eastAsiaTheme="minorEastAsia" w:cs="Arial"/>
          <w:b/>
          <w:sz w:val="20"/>
          <w:lang w:val="fr-CA"/>
        </w:rPr>
      </w:pPr>
    </w:p>
    <w:p w14:paraId="288D9759" w14:textId="1881C018" w:rsidR="008B515C" w:rsidRPr="00A00D61" w:rsidRDefault="00BC6504" w:rsidP="00013DD3">
      <w:pPr>
        <w:pStyle w:val="ListParagraph"/>
        <w:spacing w:before="160" w:after="160" w:line="20" w:lineRule="atLeast"/>
        <w:ind w:left="0" w:right="-999"/>
        <w:rPr>
          <w:rFonts w:cs="Arial"/>
          <w:sz w:val="20"/>
          <w:lang w:val="fr-CA"/>
        </w:rPr>
      </w:pPr>
      <w:r w:rsidRPr="00BC6504">
        <w:rPr>
          <w:rFonts w:ascii="Cambria Math" w:hAnsi="Cambria Math" w:cs="Arial"/>
          <w:b/>
          <w:sz w:val="20"/>
          <w:lang w:val="fr-CA"/>
        </w:rPr>
        <w:t>N</w:t>
      </w:r>
      <w:r>
        <w:rPr>
          <w:rFonts w:ascii="Cambria Math" w:hAnsi="Cambria Math" w:cs="Arial"/>
          <w:b/>
          <w:sz w:val="20"/>
          <w:lang w:val="fr-CA"/>
        </w:rPr>
        <w:t>.</w:t>
      </w:r>
      <w:r w:rsidRPr="00BC6504">
        <w:rPr>
          <w:rFonts w:ascii="Cambria Math" w:hAnsi="Cambria Math" w:cs="Arial"/>
          <w:b/>
          <w:sz w:val="20"/>
          <w:lang w:val="fr-CA"/>
        </w:rPr>
        <w:t>B</w:t>
      </w:r>
      <w:r>
        <w:rPr>
          <w:rFonts w:ascii="Cambria Math" w:hAnsi="Cambria Math" w:cs="Arial"/>
          <w:b/>
          <w:sz w:val="20"/>
          <w:lang w:val="fr-CA"/>
        </w:rPr>
        <w:t>.</w:t>
      </w:r>
      <w:r>
        <w:rPr>
          <w:rFonts w:ascii="Cambria Math" w:hAnsi="Cambria Math" w:cs="Arial"/>
          <w:sz w:val="20"/>
          <w:lang w:val="fr-CA"/>
        </w:rPr>
        <w:t> </w:t>
      </w:r>
      <w:r w:rsidR="008B515C">
        <w:rPr>
          <w:rFonts w:eastAsiaTheme="minorEastAsia" w:cs="Arial"/>
          <w:sz w:val="20"/>
          <w:lang w:val="fr-CA"/>
        </w:rPr>
        <w:t> : Il peut y avoir plusieurs améliorations</w:t>
      </w:r>
      <w:r w:rsidR="00545C2E">
        <w:rPr>
          <w:rFonts w:eastAsiaTheme="minorEastAsia" w:cs="Arial"/>
          <w:sz w:val="20"/>
          <w:lang w:val="fr-CA"/>
        </w:rPr>
        <w:t>.</w:t>
      </w:r>
    </w:p>
    <w:p w14:paraId="4C051375" w14:textId="77777777" w:rsidR="000B6833" w:rsidRPr="00A00D61" w:rsidRDefault="000B6833" w:rsidP="000B6833">
      <w:pPr>
        <w:spacing w:before="160" w:after="160" w:line="20" w:lineRule="atLeast"/>
        <w:rPr>
          <w:rFonts w:cs="Arial"/>
        </w:rPr>
      </w:pPr>
    </w:p>
    <w:p w14:paraId="59298510" w14:textId="77777777" w:rsidR="00013DD3" w:rsidRDefault="00013DD3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</w:p>
    <w:p w14:paraId="79C83F99" w14:textId="0CDEC49D" w:rsidR="000B6833" w:rsidRPr="00A00D61" w:rsidRDefault="000B6833" w:rsidP="000B6833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 xml:space="preserve">Le </w:t>
      </w:r>
      <w:r w:rsidR="008B515C">
        <w:rPr>
          <w:rFonts w:cs="Arial"/>
          <w:b/>
        </w:rPr>
        <w:t>total des taxes foncières nettes</w:t>
      </w:r>
    </w:p>
    <w:p w14:paraId="0E33DC52" w14:textId="77777777" w:rsidR="00013DD3" w:rsidRDefault="00013DD3" w:rsidP="000B6833">
      <w:pPr>
        <w:spacing w:before="160" w:after="160" w:line="20" w:lineRule="atLeast"/>
        <w:ind w:right="-988"/>
        <w:rPr>
          <w:rFonts w:cs="Arial"/>
          <w:sz w:val="20"/>
        </w:rPr>
      </w:pPr>
    </w:p>
    <w:p w14:paraId="123CD775" w14:textId="4F7DB785" w:rsidR="000B6833" w:rsidRPr="00BF10B1" w:rsidRDefault="008B515C" w:rsidP="00BF10B1">
      <w:pPr>
        <w:spacing w:before="160" w:after="160" w:line="20" w:lineRule="atLeast"/>
        <w:ind w:left="284" w:right="-988"/>
        <w:jc w:val="center"/>
        <w:rPr>
          <w:rFonts w:cs="Arial"/>
          <w:i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les taxes foncières nettes=les taxes scolaires+les taxes municipales –les crédits </m:t>
          </m:r>
          <m:sSup>
            <m:sSupPr>
              <m:ctrlPr>
                <w:rPr>
                  <w:rFonts w:ascii="Cambria Math" w:hAnsi="Cambria Math" w:cs="Arial"/>
                  <w:sz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</w:rPr>
            <m:t>impôts provinciaux</m:t>
          </m:r>
        </m:oMath>
      </m:oMathPara>
    </w:p>
    <w:p w14:paraId="3FF93091" w14:textId="65CECDC4" w:rsidR="000B6833" w:rsidRDefault="000B6833" w:rsidP="00140E67">
      <w:pPr>
        <w:rPr>
          <w:b/>
          <w:sz w:val="28"/>
          <w:szCs w:val="28"/>
        </w:rPr>
      </w:pPr>
    </w:p>
    <w:p w14:paraId="1AEA5733" w14:textId="2B1FF09B" w:rsidR="000B6833" w:rsidRDefault="000B6833" w:rsidP="00140E67">
      <w:pPr>
        <w:rPr>
          <w:b/>
          <w:sz w:val="28"/>
          <w:szCs w:val="28"/>
        </w:rPr>
      </w:pPr>
    </w:p>
    <w:p w14:paraId="0307FA01" w14:textId="123EE68C" w:rsidR="000772F8" w:rsidRDefault="000772F8" w:rsidP="000772F8">
      <w:pPr>
        <w:ind w:right="-257"/>
        <w:rPr>
          <w:rFonts w:cs="Arial"/>
          <w:b/>
          <w:color w:val="006699"/>
          <w:sz w:val="28"/>
          <w:szCs w:val="28"/>
        </w:rPr>
      </w:pPr>
    </w:p>
    <w:sectPr w:rsidR="000772F8" w:rsidSect="00BF10B1">
      <w:headerReference w:type="default" r:id="rId8"/>
      <w:footerReference w:type="default" r:id="rId9"/>
      <w:pgSz w:w="12240" w:h="15840"/>
      <w:pgMar w:top="1271" w:right="1325" w:bottom="709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8224" w14:textId="5EF69F51" w:rsidR="00444DD0" w:rsidRPr="00444DD0" w:rsidRDefault="00444DD0" w:rsidP="00444DD0">
    <w:pPr>
      <w:pStyle w:val="Footer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8D8122" wp14:editId="7C9FA00F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A527E5" w14:textId="21CAA7CC" w:rsidR="00444DD0" w:rsidRPr="000C732C" w:rsidRDefault="00444DD0" w:rsidP="00444DD0">
                          <w:pPr>
                            <w:pStyle w:val="Foo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N</w:t>
                          </w:r>
                          <w:r w:rsidR="00EE0E21">
                            <w:rPr>
                              <w:sz w:val="20"/>
                            </w:rPr>
                            <w:t>, Les 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2FF85E46" w14:textId="77777777" w:rsidR="00444DD0" w:rsidRPr="000C732C" w:rsidRDefault="00444DD0" w:rsidP="00444DD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D81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59A527E5" w14:textId="21CAA7CC" w:rsidR="00444DD0" w:rsidRPr="000C732C" w:rsidRDefault="00444DD0" w:rsidP="00444DD0">
                    <w:pPr>
                      <w:pStyle w:val="Foo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N</w:t>
                    </w:r>
                    <w:r w:rsidR="00EE0E21">
                      <w:rPr>
                        <w:sz w:val="20"/>
                      </w:rPr>
                      <w:t>, Les 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2FF85E46" w14:textId="77777777" w:rsidR="00444DD0" w:rsidRPr="000C732C" w:rsidRDefault="00444DD0" w:rsidP="00444DD0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CC4DD2" wp14:editId="42D23A32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A31E9A" id="Straight Connector 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KJvDdH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037E48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752F2D41" w:rsidR="00295F53" w:rsidRPr="00295F53" w:rsidRDefault="003A5CE1" w:rsidP="00444DD0">
    <w:pPr>
      <w:pStyle w:val="Header"/>
      <w:ind w:left="-709" w:right="-116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3DE36107">
              <wp:simplePos x="0" y="0"/>
              <wp:positionH relativeFrom="column">
                <wp:posOffset>5675630</wp:posOffset>
              </wp:positionH>
              <wp:positionV relativeFrom="paragraph">
                <wp:posOffset>-1270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27EC772A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E528BA">
                            <w:rPr>
                              <w:color w:val="FFFFFF" w:themeColor="background1"/>
                              <w:sz w:val="28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46.9pt;margin-top:-.1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" filled="f" stroked="f" strokeweight=".5pt">
              <v:textbox>
                <w:txbxContent>
                  <w:p w14:paraId="133399FC" w14:textId="27EC772A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E528BA">
                      <w:rPr>
                        <w:color w:val="FFFFFF" w:themeColor="background1"/>
                        <w:sz w:val="28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003712BA">
              <wp:simplePos x="0" y="0"/>
              <wp:positionH relativeFrom="column">
                <wp:posOffset>5635625</wp:posOffset>
              </wp:positionH>
              <wp:positionV relativeFrom="paragraph">
                <wp:posOffset>32805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81D0F2" id="Rectangle 1" o:spid="_x0000_s1026" style="position:absolute;margin-left:443.75pt;margin-top:2.6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" fillcolor="#069" stroked="f" strokeweight="1pt"/>
          </w:pict>
        </mc:Fallback>
      </mc:AlternateContent>
    </w:r>
    <w:r w:rsidR="004737A6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5590C8C7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BEB816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2E7366F1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4E2077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878DD">
      <w:t>Les impôts fonciers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A28"/>
    <w:multiLevelType w:val="hybridMultilevel"/>
    <w:tmpl w:val="28B89A1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0231B"/>
    <w:rsid w:val="00013DD3"/>
    <w:rsid w:val="00037E48"/>
    <w:rsid w:val="000772F8"/>
    <w:rsid w:val="000902D8"/>
    <w:rsid w:val="000B6833"/>
    <w:rsid w:val="000C5A1A"/>
    <w:rsid w:val="00103F5D"/>
    <w:rsid w:val="00121527"/>
    <w:rsid w:val="001221DC"/>
    <w:rsid w:val="00137B51"/>
    <w:rsid w:val="00140E67"/>
    <w:rsid w:val="0017233B"/>
    <w:rsid w:val="00187451"/>
    <w:rsid w:val="00197869"/>
    <w:rsid w:val="0023221B"/>
    <w:rsid w:val="002878DD"/>
    <w:rsid w:val="00295F53"/>
    <w:rsid w:val="002A4769"/>
    <w:rsid w:val="003106E5"/>
    <w:rsid w:val="0031094C"/>
    <w:rsid w:val="00334411"/>
    <w:rsid w:val="003A01B5"/>
    <w:rsid w:val="003A5CE1"/>
    <w:rsid w:val="003F4EF9"/>
    <w:rsid w:val="00430BF0"/>
    <w:rsid w:val="00444DD0"/>
    <w:rsid w:val="0046669B"/>
    <w:rsid w:val="004737A6"/>
    <w:rsid w:val="004B5067"/>
    <w:rsid w:val="00514841"/>
    <w:rsid w:val="005418A6"/>
    <w:rsid w:val="00545C2E"/>
    <w:rsid w:val="005D7D0D"/>
    <w:rsid w:val="005E4124"/>
    <w:rsid w:val="00604F52"/>
    <w:rsid w:val="006127C3"/>
    <w:rsid w:val="007454D1"/>
    <w:rsid w:val="007B5F44"/>
    <w:rsid w:val="00846E35"/>
    <w:rsid w:val="00863BA5"/>
    <w:rsid w:val="008A688F"/>
    <w:rsid w:val="008B515C"/>
    <w:rsid w:val="0093699D"/>
    <w:rsid w:val="0099232A"/>
    <w:rsid w:val="009D699A"/>
    <w:rsid w:val="009E383E"/>
    <w:rsid w:val="00A60C19"/>
    <w:rsid w:val="00B34D36"/>
    <w:rsid w:val="00B61BFE"/>
    <w:rsid w:val="00B763CA"/>
    <w:rsid w:val="00BC6504"/>
    <w:rsid w:val="00BE3FC8"/>
    <w:rsid w:val="00BF10B1"/>
    <w:rsid w:val="00C30DEF"/>
    <w:rsid w:val="00D84C97"/>
    <w:rsid w:val="00DB0A65"/>
    <w:rsid w:val="00E528BA"/>
    <w:rsid w:val="00E5634A"/>
    <w:rsid w:val="00E63C9A"/>
    <w:rsid w:val="00EE0E21"/>
    <w:rsid w:val="00F04EFC"/>
    <w:rsid w:val="00F5237F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53"/>
  </w:style>
  <w:style w:type="paragraph" w:styleId="Footer">
    <w:name w:val="footer"/>
    <w:basedOn w:val="Normal"/>
    <w:link w:val="Foot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53"/>
  </w:style>
  <w:style w:type="table" w:styleId="TableGrid">
    <w:name w:val="Table Grid"/>
    <w:basedOn w:val="Table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3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F4EF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34D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0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Aubin, Jeannette (MET)</cp:lastModifiedBy>
  <cp:revision>12</cp:revision>
  <cp:lastPrinted>2018-05-25T20:26:00Z</cp:lastPrinted>
  <dcterms:created xsi:type="dcterms:W3CDTF">2018-05-25T16:14:00Z</dcterms:created>
  <dcterms:modified xsi:type="dcterms:W3CDTF">2018-11-30T21:42:00Z</dcterms:modified>
</cp:coreProperties>
</file>