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955A2" w14:textId="79BA83D8" w:rsidR="0000231B" w:rsidRDefault="0000231B" w:rsidP="00140E67">
      <w:pPr>
        <w:rPr>
          <w:b/>
          <w:sz w:val="28"/>
          <w:szCs w:val="28"/>
        </w:rPr>
      </w:pPr>
      <w:r>
        <w:rPr>
          <w:b/>
          <w:sz w:val="28"/>
          <w:szCs w:val="28"/>
        </w:rPr>
        <w:t>Les coûts initiaux</w:t>
      </w:r>
    </w:p>
    <w:tbl>
      <w:tblPr>
        <w:tblStyle w:val="Grilledutableau"/>
        <w:tblW w:w="9924" w:type="dxa"/>
        <w:tblInd w:w="-431" w:type="dxa"/>
        <w:tblLook w:val="04A0" w:firstRow="1" w:lastRow="0" w:firstColumn="1" w:lastColumn="0" w:noHBand="0" w:noVBand="1"/>
      </w:tblPr>
      <w:tblGrid>
        <w:gridCol w:w="1844"/>
        <w:gridCol w:w="8080"/>
      </w:tblGrid>
      <w:tr w:rsidR="008A688F" w14:paraId="1083C78F" w14:textId="77777777" w:rsidTr="00750A6C">
        <w:trPr>
          <w:trHeight w:val="1361"/>
        </w:trPr>
        <w:tc>
          <w:tcPr>
            <w:tcW w:w="1844" w:type="dxa"/>
            <w:vAlign w:val="center"/>
          </w:tcPr>
          <w:p w14:paraId="00EB9A08" w14:textId="77777777" w:rsidR="008A688F" w:rsidRPr="006F7A67" w:rsidRDefault="008A688F" w:rsidP="00750A6C">
            <w:pPr>
              <w:spacing w:after="0" w:line="240" w:lineRule="auto"/>
              <w:ind w:right="-114"/>
            </w:pPr>
            <w:r>
              <w:t>Les frais d’inspection</w:t>
            </w:r>
          </w:p>
        </w:tc>
        <w:tc>
          <w:tcPr>
            <w:tcW w:w="8080" w:type="dxa"/>
            <w:vAlign w:val="center"/>
          </w:tcPr>
          <w:p w14:paraId="6980E2A5" w14:textId="24497855" w:rsidR="008A688F" w:rsidRPr="006F7A67" w:rsidRDefault="00DF719E" w:rsidP="009C5A9D">
            <w:pPr>
              <w:spacing w:after="0" w:line="20" w:lineRule="atLeast"/>
            </w:pPr>
            <w:r>
              <w:t>Avant de</w:t>
            </w:r>
            <w:r w:rsidR="009C5A9D">
              <w:t xml:space="preserve"> décider d’</w:t>
            </w:r>
            <w:r w:rsidR="008A688F">
              <w:t>acheter une maison, il est fortement recommandé de la faire inspecter par un inspecteur en bâtiment professionnel avant d’effectuer u</w:t>
            </w:r>
            <w:r w:rsidR="007E3F4B">
              <w:t xml:space="preserve">ne offre finale sur la maison. </w:t>
            </w:r>
            <w:r w:rsidR="008A688F">
              <w:t>L’inspecteur peut identifier certaines parties nécessitant des réparations.</w:t>
            </w:r>
          </w:p>
        </w:tc>
      </w:tr>
      <w:tr w:rsidR="008A688F" w:rsidRPr="00693EC0" w14:paraId="7AFCEF87" w14:textId="77777777" w:rsidTr="00750A6C">
        <w:trPr>
          <w:trHeight w:val="1020"/>
        </w:trPr>
        <w:tc>
          <w:tcPr>
            <w:tcW w:w="1844" w:type="dxa"/>
            <w:vAlign w:val="center"/>
          </w:tcPr>
          <w:p w14:paraId="2A8B824E" w14:textId="77777777" w:rsidR="008A688F" w:rsidRPr="006F7A67" w:rsidRDefault="008A688F" w:rsidP="00750A6C">
            <w:pPr>
              <w:spacing w:after="0" w:line="240" w:lineRule="auto"/>
            </w:pPr>
            <w:r>
              <w:t>Les frais d’évaluation</w:t>
            </w:r>
          </w:p>
        </w:tc>
        <w:tc>
          <w:tcPr>
            <w:tcW w:w="8080" w:type="dxa"/>
            <w:vAlign w:val="center"/>
          </w:tcPr>
          <w:p w14:paraId="4512BD82" w14:textId="77777777" w:rsidR="008A688F" w:rsidRPr="006F7A67" w:rsidRDefault="008A688F" w:rsidP="00750A6C">
            <w:pPr>
              <w:spacing w:after="0" w:line="20" w:lineRule="atLeast"/>
            </w:pPr>
            <w:r>
              <w:t>Pour prêter de l’argent, le prêteur doit déterminer la valeur du bien. Un évaluateur professionnel évalue le bien pour en connaître la valeur.</w:t>
            </w:r>
          </w:p>
        </w:tc>
      </w:tr>
      <w:tr w:rsidR="008A688F" w:rsidRPr="00693EC0" w14:paraId="17C9B299" w14:textId="77777777" w:rsidTr="00750A6C">
        <w:trPr>
          <w:trHeight w:val="1020"/>
        </w:trPr>
        <w:tc>
          <w:tcPr>
            <w:tcW w:w="1844" w:type="dxa"/>
            <w:vAlign w:val="center"/>
          </w:tcPr>
          <w:p w14:paraId="547DFCF0" w14:textId="77777777" w:rsidR="008A688F" w:rsidRPr="006F7A67" w:rsidRDefault="008A688F" w:rsidP="00750A6C">
            <w:pPr>
              <w:spacing w:after="0" w:line="240" w:lineRule="auto"/>
            </w:pPr>
            <w:r>
              <w:t xml:space="preserve">Les frais de demande </w:t>
            </w:r>
            <w:r w:rsidRPr="007C078B">
              <w:t>d’emprunt</w:t>
            </w:r>
          </w:p>
        </w:tc>
        <w:tc>
          <w:tcPr>
            <w:tcW w:w="8080" w:type="dxa"/>
            <w:vAlign w:val="center"/>
          </w:tcPr>
          <w:p w14:paraId="005D5670" w14:textId="2D0EE0A0" w:rsidR="008A688F" w:rsidRPr="006F7A67" w:rsidRDefault="008A688F" w:rsidP="00750A6C">
            <w:pPr>
              <w:spacing w:after="0" w:line="20" w:lineRule="atLeast"/>
            </w:pPr>
            <w:r>
              <w:t xml:space="preserve">Ton </w:t>
            </w:r>
            <w:r w:rsidR="00121527">
              <w:t>institution</w:t>
            </w:r>
            <w:r w:rsidR="00DF719E">
              <w:t xml:space="preserve"> financière</w:t>
            </w:r>
            <w:r>
              <w:t xml:space="preserve"> peut te facturer des frais pour le traitement de ta demande d’hypothèque.</w:t>
            </w:r>
          </w:p>
        </w:tc>
      </w:tr>
      <w:tr w:rsidR="008A688F" w14:paraId="793F7CDA" w14:textId="77777777" w:rsidTr="00750A6C">
        <w:trPr>
          <w:trHeight w:val="4252"/>
        </w:trPr>
        <w:tc>
          <w:tcPr>
            <w:tcW w:w="1844" w:type="dxa"/>
            <w:vAlign w:val="center"/>
          </w:tcPr>
          <w:p w14:paraId="2FD55BFF" w14:textId="130A0ACA" w:rsidR="008A688F" w:rsidRPr="006F7A67" w:rsidRDefault="008A688F" w:rsidP="00750A6C">
            <w:pPr>
              <w:spacing w:after="0" w:line="240" w:lineRule="auto"/>
            </w:pPr>
            <w:r>
              <w:t xml:space="preserve">La taxe sur </w:t>
            </w:r>
            <w:r w:rsidR="00265507">
              <w:br/>
            </w:r>
            <w:r>
              <w:t>les transferts fonciers</w:t>
            </w:r>
          </w:p>
        </w:tc>
        <w:tc>
          <w:tcPr>
            <w:tcW w:w="8080" w:type="dxa"/>
            <w:vAlign w:val="center"/>
          </w:tcPr>
          <w:p w14:paraId="27370143" w14:textId="15FD8C9D" w:rsidR="008A688F" w:rsidRDefault="008A688F" w:rsidP="00750A6C">
            <w:pPr>
              <w:spacing w:after="0" w:line="20" w:lineRule="atLeast"/>
              <w:ind w:right="626"/>
            </w:pPr>
            <w:r>
              <w:t>Tu dois payer cet</w:t>
            </w:r>
            <w:r w:rsidR="009C5A9D">
              <w:t>te taxe au Bureau des titres</w:t>
            </w:r>
            <w:r>
              <w:t xml:space="preserve"> fonciers du Manitoba au moment de l’enregistrement du titre de ta maison. Elle correspond au pourcentage suivant qui s’applique aux tranches suivantes du prix d’achat. </w:t>
            </w:r>
          </w:p>
          <w:tbl>
            <w:tblPr>
              <w:tblStyle w:val="Grilledutableau"/>
              <w:tblpPr w:leftFromText="180" w:rightFromText="180" w:vertAnchor="text" w:horzAnchor="margin" w:tblpXSpec="center" w:tblpY="553"/>
              <w:tblOverlap w:val="never"/>
              <w:tblW w:w="0" w:type="auto"/>
              <w:tblLook w:val="04A0" w:firstRow="1" w:lastRow="0" w:firstColumn="1" w:lastColumn="0" w:noHBand="0" w:noVBand="1"/>
            </w:tblPr>
            <w:tblGrid>
              <w:gridCol w:w="3337"/>
              <w:gridCol w:w="1903"/>
            </w:tblGrid>
            <w:tr w:rsidR="008A688F" w14:paraId="1E026DB1" w14:textId="77777777" w:rsidTr="00EC2A87">
              <w:trPr>
                <w:trHeight w:val="510"/>
              </w:trPr>
              <w:tc>
                <w:tcPr>
                  <w:tcW w:w="3337" w:type="dxa"/>
                  <w:vAlign w:val="center"/>
                </w:tcPr>
                <w:p w14:paraId="0438392A" w14:textId="77777777" w:rsidR="008A688F" w:rsidRPr="00693EC0" w:rsidRDefault="008A688F" w:rsidP="00EC2A87">
                  <w:pPr>
                    <w:spacing w:after="0" w:line="20" w:lineRule="atLeast"/>
                    <w:jc w:val="center"/>
                  </w:pPr>
                  <w:r w:rsidRPr="00693EC0">
                    <w:t>0 – 30 000 $</w:t>
                  </w:r>
                </w:p>
              </w:tc>
              <w:tc>
                <w:tcPr>
                  <w:tcW w:w="1903" w:type="dxa"/>
                  <w:vAlign w:val="center"/>
                </w:tcPr>
                <w:p w14:paraId="7BF5C138" w14:textId="77777777" w:rsidR="008A688F" w:rsidRDefault="008A688F" w:rsidP="00EC2A87">
                  <w:pPr>
                    <w:spacing w:after="0" w:line="20" w:lineRule="atLeast"/>
                    <w:jc w:val="center"/>
                  </w:pPr>
                  <w:r>
                    <w:t>zéro</w:t>
                  </w:r>
                </w:p>
              </w:tc>
            </w:tr>
            <w:tr w:rsidR="008A688F" w14:paraId="2A60F162" w14:textId="77777777" w:rsidTr="00EC2A87">
              <w:trPr>
                <w:trHeight w:val="510"/>
              </w:trPr>
              <w:tc>
                <w:tcPr>
                  <w:tcW w:w="3337" w:type="dxa"/>
                  <w:vAlign w:val="center"/>
                </w:tcPr>
                <w:p w14:paraId="5E36EBF3" w14:textId="77777777" w:rsidR="008A688F" w:rsidRPr="00693EC0" w:rsidRDefault="008A688F" w:rsidP="00EC2A87">
                  <w:pPr>
                    <w:spacing w:after="0" w:line="20" w:lineRule="atLeast"/>
                    <w:jc w:val="center"/>
                  </w:pPr>
                  <w:r w:rsidRPr="00693EC0">
                    <w:t>30 001 $ – 90 000 $</w:t>
                  </w:r>
                </w:p>
              </w:tc>
              <w:tc>
                <w:tcPr>
                  <w:tcW w:w="1903" w:type="dxa"/>
                  <w:vAlign w:val="center"/>
                </w:tcPr>
                <w:p w14:paraId="7C06C282" w14:textId="77777777" w:rsidR="008A688F" w:rsidRDefault="008A688F" w:rsidP="00EC2A87">
                  <w:pPr>
                    <w:spacing w:after="0" w:line="20" w:lineRule="atLeast"/>
                    <w:jc w:val="center"/>
                  </w:pPr>
                  <w:r w:rsidRPr="00FB23B8">
                    <w:t>0,5%</w:t>
                  </w:r>
                </w:p>
              </w:tc>
            </w:tr>
            <w:tr w:rsidR="008A688F" w14:paraId="17A775B1" w14:textId="77777777" w:rsidTr="00EC2A87">
              <w:trPr>
                <w:trHeight w:val="510"/>
              </w:trPr>
              <w:tc>
                <w:tcPr>
                  <w:tcW w:w="3337" w:type="dxa"/>
                  <w:vAlign w:val="center"/>
                </w:tcPr>
                <w:p w14:paraId="641915B0" w14:textId="77777777" w:rsidR="008A688F" w:rsidRPr="00693EC0" w:rsidRDefault="008A688F" w:rsidP="00EC2A87">
                  <w:pPr>
                    <w:spacing w:after="0" w:line="20" w:lineRule="atLeast"/>
                    <w:jc w:val="center"/>
                  </w:pPr>
                  <w:r w:rsidRPr="00693EC0">
                    <w:t>90 001 $ – 150 000 $</w:t>
                  </w:r>
                </w:p>
              </w:tc>
              <w:tc>
                <w:tcPr>
                  <w:tcW w:w="1903" w:type="dxa"/>
                  <w:vAlign w:val="center"/>
                </w:tcPr>
                <w:p w14:paraId="31620004" w14:textId="77777777" w:rsidR="008A688F" w:rsidRDefault="008A688F" w:rsidP="00EC2A87">
                  <w:pPr>
                    <w:spacing w:after="0" w:line="20" w:lineRule="atLeast"/>
                    <w:jc w:val="center"/>
                  </w:pPr>
                  <w:r w:rsidRPr="00FB23B8">
                    <w:t>1,0%</w:t>
                  </w:r>
                </w:p>
              </w:tc>
            </w:tr>
            <w:tr w:rsidR="008A688F" w14:paraId="12E01A8E" w14:textId="77777777" w:rsidTr="00EC2A87">
              <w:trPr>
                <w:trHeight w:val="510"/>
              </w:trPr>
              <w:tc>
                <w:tcPr>
                  <w:tcW w:w="3337" w:type="dxa"/>
                  <w:vAlign w:val="center"/>
                </w:tcPr>
                <w:p w14:paraId="0E5AD1C8" w14:textId="77777777" w:rsidR="008A688F" w:rsidRPr="00693EC0" w:rsidRDefault="008A688F" w:rsidP="00EC2A87">
                  <w:pPr>
                    <w:spacing w:after="0" w:line="20" w:lineRule="atLeast"/>
                    <w:jc w:val="center"/>
                  </w:pPr>
                  <w:r w:rsidRPr="00693EC0">
                    <w:t>150 001 $ – 200 000 $</w:t>
                  </w:r>
                </w:p>
              </w:tc>
              <w:tc>
                <w:tcPr>
                  <w:tcW w:w="1903" w:type="dxa"/>
                  <w:vAlign w:val="center"/>
                </w:tcPr>
                <w:p w14:paraId="4D2EAE43" w14:textId="77777777" w:rsidR="008A688F" w:rsidRDefault="008A688F" w:rsidP="00EC2A87">
                  <w:pPr>
                    <w:spacing w:after="0" w:line="20" w:lineRule="atLeast"/>
                    <w:jc w:val="center"/>
                  </w:pPr>
                  <w:r w:rsidRPr="00FB23B8">
                    <w:t>1,5%</w:t>
                  </w:r>
                </w:p>
              </w:tc>
            </w:tr>
            <w:tr w:rsidR="008A688F" w14:paraId="15693F84" w14:textId="77777777" w:rsidTr="00EC2A87">
              <w:trPr>
                <w:trHeight w:val="510"/>
              </w:trPr>
              <w:tc>
                <w:tcPr>
                  <w:tcW w:w="3337" w:type="dxa"/>
                  <w:vAlign w:val="center"/>
                </w:tcPr>
                <w:p w14:paraId="3A6787BD" w14:textId="77777777" w:rsidR="008A688F" w:rsidRDefault="008A688F" w:rsidP="00EC2A87">
                  <w:pPr>
                    <w:spacing w:after="0" w:line="20" w:lineRule="atLeast"/>
                    <w:jc w:val="center"/>
                  </w:pPr>
                  <w:proofErr w:type="spellStart"/>
                  <w:r>
                    <w:t>Au-délà</w:t>
                  </w:r>
                  <w:proofErr w:type="spellEnd"/>
                  <w:r>
                    <w:t xml:space="preserve"> de 200 000 $</w:t>
                  </w:r>
                </w:p>
              </w:tc>
              <w:tc>
                <w:tcPr>
                  <w:tcW w:w="1903" w:type="dxa"/>
                  <w:vAlign w:val="center"/>
                </w:tcPr>
                <w:p w14:paraId="30CF2272" w14:textId="77777777" w:rsidR="008A688F" w:rsidRDefault="008A688F" w:rsidP="00EC2A87">
                  <w:pPr>
                    <w:spacing w:after="0" w:line="20" w:lineRule="atLeast"/>
                    <w:jc w:val="center"/>
                  </w:pPr>
                  <w:r>
                    <w:t>2,0%</w:t>
                  </w:r>
                </w:p>
              </w:tc>
            </w:tr>
          </w:tbl>
          <w:p w14:paraId="674C6805" w14:textId="68F5D0D6" w:rsidR="008A688F" w:rsidRPr="006F7A67" w:rsidRDefault="008A688F" w:rsidP="00750A6C">
            <w:pPr>
              <w:spacing w:after="0" w:line="20" w:lineRule="atLeast"/>
            </w:pPr>
          </w:p>
        </w:tc>
      </w:tr>
      <w:tr w:rsidR="008A688F" w:rsidRPr="00693EC0" w14:paraId="4365FD5B" w14:textId="77777777" w:rsidTr="00750A6C">
        <w:trPr>
          <w:trHeight w:val="1247"/>
        </w:trPr>
        <w:tc>
          <w:tcPr>
            <w:tcW w:w="1844" w:type="dxa"/>
            <w:vAlign w:val="center"/>
          </w:tcPr>
          <w:p w14:paraId="13A5ACC3" w14:textId="77777777" w:rsidR="008A688F" w:rsidRPr="006F7A67" w:rsidRDefault="008A688F" w:rsidP="00750A6C">
            <w:pPr>
              <w:spacing w:after="0" w:line="240" w:lineRule="auto"/>
            </w:pPr>
            <w:r>
              <w:t>Le certificat d’arpentage</w:t>
            </w:r>
          </w:p>
        </w:tc>
        <w:tc>
          <w:tcPr>
            <w:tcW w:w="8080" w:type="dxa"/>
            <w:vAlign w:val="center"/>
          </w:tcPr>
          <w:p w14:paraId="55E1682A" w14:textId="6001F156" w:rsidR="008A688F" w:rsidRPr="006F7A67" w:rsidRDefault="008A688F" w:rsidP="00750A6C">
            <w:pPr>
              <w:spacing w:after="0" w:line="20" w:lineRule="atLeast"/>
            </w:pPr>
            <w:r>
              <w:t>Tu peux obtenir ce document auprès du vendeur. Si tu as besoin d’un nouveau certificat d’arpentage, il t’en coûtera environ 300</w:t>
            </w:r>
            <w:r w:rsidR="009C5A9D">
              <w:t xml:space="preserve"> </w:t>
            </w:r>
            <w:r>
              <w:t>$ pour faire l’arpentage de la propriété.</w:t>
            </w:r>
          </w:p>
        </w:tc>
      </w:tr>
      <w:tr w:rsidR="008A688F" w:rsidRPr="00693EC0" w14:paraId="2BB16117" w14:textId="77777777" w:rsidTr="00750A6C">
        <w:trPr>
          <w:trHeight w:val="1247"/>
        </w:trPr>
        <w:tc>
          <w:tcPr>
            <w:tcW w:w="1844" w:type="dxa"/>
            <w:vAlign w:val="center"/>
          </w:tcPr>
          <w:p w14:paraId="3AB56DB1" w14:textId="7C34EC37" w:rsidR="008A688F" w:rsidRPr="006F7A67" w:rsidRDefault="008A688F" w:rsidP="00750A6C">
            <w:pPr>
              <w:spacing w:after="0" w:line="240" w:lineRule="auto"/>
            </w:pPr>
            <w:r>
              <w:t xml:space="preserve">L’arpentage de </w:t>
            </w:r>
            <w:r w:rsidR="00265507">
              <w:br/>
            </w:r>
            <w:r>
              <w:t>la propriété</w:t>
            </w:r>
          </w:p>
        </w:tc>
        <w:tc>
          <w:tcPr>
            <w:tcW w:w="8080" w:type="dxa"/>
            <w:vAlign w:val="center"/>
          </w:tcPr>
          <w:p w14:paraId="5D3DECC6" w14:textId="77777777" w:rsidR="008A688F" w:rsidRPr="006F7A67" w:rsidRDefault="008A688F" w:rsidP="00750A6C">
            <w:pPr>
              <w:spacing w:after="0" w:line="20" w:lineRule="atLeast"/>
            </w:pPr>
            <w:r>
              <w:t xml:space="preserve">Cette opération permet d’obtenir des renseignements sur l’emplacement des bâtiments, des clôtures et autres structures situées sur le terrain. Si tu peux obtenir un certificat d’arpentage récent, il n’est peut-être pas nécessaire de faire faire l’arpentage de la propriété. </w:t>
            </w:r>
          </w:p>
        </w:tc>
      </w:tr>
      <w:tr w:rsidR="008A688F" w:rsidRPr="00693EC0" w14:paraId="7FFF6133" w14:textId="77777777" w:rsidTr="00750A6C">
        <w:trPr>
          <w:trHeight w:val="1077"/>
        </w:trPr>
        <w:tc>
          <w:tcPr>
            <w:tcW w:w="1844" w:type="dxa"/>
            <w:vAlign w:val="center"/>
          </w:tcPr>
          <w:p w14:paraId="4EE67E2E" w14:textId="77777777" w:rsidR="008A688F" w:rsidRPr="006F7A67" w:rsidRDefault="008A688F" w:rsidP="00750A6C">
            <w:pPr>
              <w:spacing w:after="0" w:line="240" w:lineRule="auto"/>
            </w:pPr>
            <w:r>
              <w:t>Les frais juridiques supplémentaires</w:t>
            </w:r>
          </w:p>
        </w:tc>
        <w:tc>
          <w:tcPr>
            <w:tcW w:w="8080" w:type="dxa"/>
            <w:vAlign w:val="center"/>
          </w:tcPr>
          <w:p w14:paraId="7B8387D8" w14:textId="5366ED69" w:rsidR="008A688F" w:rsidRPr="006F7A67" w:rsidRDefault="008A688F" w:rsidP="00DF719E">
            <w:pPr>
              <w:spacing w:after="0" w:line="20" w:lineRule="atLeast"/>
            </w:pPr>
            <w:r>
              <w:t xml:space="preserve">Il s’agit notamment de débours comme les frais d’enregistrement, le certificat relatif au zonage, le certificat de taxes, la recherche </w:t>
            </w:r>
            <w:r w:rsidR="00DF719E">
              <w:t>de privilège</w:t>
            </w:r>
            <w:r>
              <w:t>, les frais d’administration et la TPS.</w:t>
            </w:r>
          </w:p>
        </w:tc>
      </w:tr>
      <w:tr w:rsidR="008A688F" w:rsidRPr="00693EC0" w14:paraId="715CF8B3" w14:textId="77777777" w:rsidTr="00750A6C">
        <w:trPr>
          <w:trHeight w:val="964"/>
        </w:trPr>
        <w:tc>
          <w:tcPr>
            <w:tcW w:w="1844" w:type="dxa"/>
            <w:vAlign w:val="center"/>
          </w:tcPr>
          <w:p w14:paraId="0340EBED" w14:textId="77777777" w:rsidR="008A688F" w:rsidRPr="006F7A67" w:rsidRDefault="008A688F" w:rsidP="00750A6C">
            <w:pPr>
              <w:spacing w:after="0" w:line="240" w:lineRule="auto"/>
            </w:pPr>
            <w:r>
              <w:t>Les frais d’avocat</w:t>
            </w:r>
          </w:p>
        </w:tc>
        <w:tc>
          <w:tcPr>
            <w:tcW w:w="8080" w:type="dxa"/>
            <w:vAlign w:val="center"/>
          </w:tcPr>
          <w:p w14:paraId="6CA78317" w14:textId="10E66ABD" w:rsidR="008A688F" w:rsidRPr="006F7A67" w:rsidRDefault="008A688F" w:rsidP="009C5A9D">
            <w:pPr>
              <w:spacing w:after="0" w:line="20" w:lineRule="atLeast"/>
            </w:pPr>
            <w:r>
              <w:t>Les avocats spécialisés en immobilier facturent environ 300 à 400 $ pour les travaux juridiques li</w:t>
            </w:r>
            <w:bookmarkStart w:id="0" w:name="_GoBack"/>
            <w:bookmarkEnd w:id="0"/>
            <w:r>
              <w:t xml:space="preserve">és à l’achat </w:t>
            </w:r>
            <w:r w:rsidR="009C5A9D">
              <w:t>d’une</w:t>
            </w:r>
            <w:r>
              <w:t xml:space="preserve"> maison.</w:t>
            </w:r>
          </w:p>
        </w:tc>
      </w:tr>
      <w:tr w:rsidR="0000231B" w:rsidRPr="00693EC0" w14:paraId="1CA6EEB4" w14:textId="77777777" w:rsidTr="00750A6C">
        <w:trPr>
          <w:trHeight w:val="1020"/>
        </w:trPr>
        <w:tc>
          <w:tcPr>
            <w:tcW w:w="1844" w:type="dxa"/>
            <w:vAlign w:val="center"/>
          </w:tcPr>
          <w:p w14:paraId="00A865F9" w14:textId="11D5E1E0" w:rsidR="0000231B" w:rsidRDefault="0000231B" w:rsidP="00750A6C">
            <w:pPr>
              <w:spacing w:after="0" w:line="240" w:lineRule="auto"/>
            </w:pPr>
            <w:r w:rsidRPr="008A688F">
              <w:lastRenderedPageBreak/>
              <w:t>Les taxes</w:t>
            </w:r>
            <w:r>
              <w:t xml:space="preserve"> </w:t>
            </w:r>
            <w:r w:rsidR="00265507">
              <w:br/>
            </w:r>
            <w:r>
              <w:t>de vente</w:t>
            </w:r>
          </w:p>
        </w:tc>
        <w:tc>
          <w:tcPr>
            <w:tcW w:w="8080" w:type="dxa"/>
            <w:vAlign w:val="center"/>
          </w:tcPr>
          <w:p w14:paraId="575CC2B8" w14:textId="024AF8E9" w:rsidR="0000231B" w:rsidRDefault="0000231B" w:rsidP="00750A6C">
            <w:pPr>
              <w:spacing w:after="0" w:line="20" w:lineRule="atLeast"/>
            </w:pPr>
            <w:r>
              <w:t xml:space="preserve">Lorsque tu achètes une nouvelle maison, la TPS est habituellement appliquée tandis que l’achat d’une maison en revente en est exempté.  </w:t>
            </w:r>
          </w:p>
        </w:tc>
      </w:tr>
      <w:tr w:rsidR="008A688F" w:rsidRPr="00693EC0" w14:paraId="17FAEBF8" w14:textId="77777777" w:rsidTr="00265507">
        <w:trPr>
          <w:trHeight w:val="1814"/>
        </w:trPr>
        <w:tc>
          <w:tcPr>
            <w:tcW w:w="1844" w:type="dxa"/>
            <w:vAlign w:val="center"/>
          </w:tcPr>
          <w:p w14:paraId="16BDD8CD" w14:textId="336911CA" w:rsidR="008A688F" w:rsidRDefault="009C5A9D" w:rsidP="00750A6C">
            <w:pPr>
              <w:spacing w:after="0" w:line="240" w:lineRule="auto"/>
            </w:pPr>
            <w:r>
              <w:t>Le</w:t>
            </w:r>
            <w:r w:rsidR="008A688F">
              <w:t xml:space="preserve"> rajustement</w:t>
            </w:r>
            <w:r w:rsidR="0000231B">
              <w:t xml:space="preserve"> </w:t>
            </w:r>
            <w:r w:rsidR="008A688F">
              <w:t>des intérêts</w:t>
            </w:r>
          </w:p>
        </w:tc>
        <w:tc>
          <w:tcPr>
            <w:tcW w:w="8080" w:type="dxa"/>
            <w:vAlign w:val="center"/>
          </w:tcPr>
          <w:p w14:paraId="0C32E7FF" w14:textId="3B661249" w:rsidR="008A688F" w:rsidRDefault="008A688F" w:rsidP="00DF719E">
            <w:pPr>
              <w:spacing w:after="0" w:line="20" w:lineRule="atLeast"/>
            </w:pPr>
            <w:r>
              <w:t xml:space="preserve">Si tu as besoin d’une hypothèque, le temps de traitement nécessaire pour les titres fonciers est tel que l’argent de l’hypothèque n’est accessible qu’après avoir pris possession de ta nouvelle maison. Pendant cette période, tu dois payer des intérêts </w:t>
            </w:r>
            <w:r w:rsidR="00265507">
              <w:br/>
            </w:r>
            <w:r>
              <w:t>au vendeur. Normalement, tu verse</w:t>
            </w:r>
            <w:r w:rsidR="0000231B">
              <w:t xml:space="preserve">s </w:t>
            </w:r>
            <w:r>
              <w:t xml:space="preserve">un mois d’intérêts à ton avocat lorsque tu prends possession de ta maison. Ton avocat remet le montant approprié au vendeur et le reste à ton </w:t>
            </w:r>
            <w:r w:rsidR="00DF719E">
              <w:t>institution financière</w:t>
            </w:r>
            <w:r>
              <w:t xml:space="preserve"> ou à toi (s’il y a lieu).</w:t>
            </w:r>
          </w:p>
        </w:tc>
      </w:tr>
      <w:tr w:rsidR="008A688F" w:rsidRPr="00693EC0" w14:paraId="6F9B8DEA" w14:textId="77777777" w:rsidTr="00265507">
        <w:trPr>
          <w:trHeight w:val="3231"/>
        </w:trPr>
        <w:tc>
          <w:tcPr>
            <w:tcW w:w="1844" w:type="dxa"/>
            <w:vAlign w:val="center"/>
          </w:tcPr>
          <w:p w14:paraId="103B43C4" w14:textId="27B261B0" w:rsidR="008A688F" w:rsidRDefault="008A688F" w:rsidP="00750A6C">
            <w:pPr>
              <w:spacing w:after="0" w:line="240" w:lineRule="auto"/>
            </w:pPr>
            <w:r>
              <w:t xml:space="preserve">Le rajustement </w:t>
            </w:r>
            <w:r w:rsidR="00265507">
              <w:br/>
            </w:r>
            <w:r>
              <w:t>de l’impôt foncier</w:t>
            </w:r>
          </w:p>
        </w:tc>
        <w:tc>
          <w:tcPr>
            <w:tcW w:w="8080" w:type="dxa"/>
            <w:vAlign w:val="center"/>
          </w:tcPr>
          <w:p w14:paraId="4CA3724C" w14:textId="410D5DE4" w:rsidR="008A688F" w:rsidRDefault="008A688F" w:rsidP="00750A6C">
            <w:pPr>
              <w:spacing w:after="0" w:line="20" w:lineRule="atLeast"/>
              <w:rPr>
                <w:i/>
              </w:rPr>
            </w:pPr>
            <w:r w:rsidRPr="00934D7F">
              <w:rPr>
                <w:i/>
              </w:rPr>
              <w:t xml:space="preserve">Chaque année, les propriétaires sont obligés de payer un impôt foncier à la ville ou à la municipalité. L’impôt foncier est calculé pour l’année civile (de janvier à décembre) mais il doit être payé à une certaine date au cours de l’année. </w:t>
            </w:r>
          </w:p>
          <w:p w14:paraId="0783DA6D" w14:textId="77777777" w:rsidR="00265507" w:rsidRPr="00934D7F" w:rsidRDefault="00265507" w:rsidP="00750A6C">
            <w:pPr>
              <w:spacing w:after="0" w:line="20" w:lineRule="atLeast"/>
              <w:rPr>
                <w:i/>
              </w:rPr>
            </w:pPr>
          </w:p>
          <w:p w14:paraId="35649B03" w14:textId="302A5BA3" w:rsidR="008A688F" w:rsidRDefault="008A688F" w:rsidP="00750A6C">
            <w:pPr>
              <w:spacing w:after="0" w:line="20" w:lineRule="atLeast"/>
            </w:pPr>
            <w:r>
              <w:t>Selon la date à laquelle tu achètes ta propriété, il te faut peut-être rembourser le vendeur pour l’impôt foncier qu’il a payé, ou bien le vendeur doit peut-être te rembourser une partie du montant que tu as payé. Si tu achètes la maison après la date limite du paieme</w:t>
            </w:r>
            <w:r w:rsidR="009C5A9D">
              <w:t xml:space="preserve">nt de l’impôt foncier </w:t>
            </w:r>
            <w:r>
              <w:t>et que le vendeur a payé l’impôt foncier annuel, il faut que tu rembourses le vendeur et que tu lui payes ta part de l’impôt. Si tu achètes une propriété avant la date limite, le vendeur doit te rembourser sa part de l’impôt annuel.</w:t>
            </w:r>
          </w:p>
        </w:tc>
      </w:tr>
      <w:tr w:rsidR="008A688F" w:rsidRPr="00693EC0" w14:paraId="5A778133" w14:textId="77777777" w:rsidTr="00750A6C">
        <w:trPr>
          <w:trHeight w:val="1871"/>
        </w:trPr>
        <w:tc>
          <w:tcPr>
            <w:tcW w:w="1844" w:type="dxa"/>
            <w:vAlign w:val="center"/>
          </w:tcPr>
          <w:p w14:paraId="3DA04351" w14:textId="77777777" w:rsidR="008A688F" w:rsidRDefault="008A688F" w:rsidP="00750A6C">
            <w:pPr>
              <w:spacing w:after="0" w:line="240" w:lineRule="auto"/>
            </w:pPr>
            <w:r>
              <w:t>Le rajustement d’assurance</w:t>
            </w:r>
          </w:p>
        </w:tc>
        <w:tc>
          <w:tcPr>
            <w:tcW w:w="8080" w:type="dxa"/>
            <w:vAlign w:val="center"/>
          </w:tcPr>
          <w:p w14:paraId="48435743" w14:textId="43103AE8" w:rsidR="008A688F" w:rsidRPr="00934D7F" w:rsidRDefault="008A688F" w:rsidP="009C5A9D">
            <w:pPr>
              <w:spacing w:after="0" w:line="20" w:lineRule="atLeast"/>
            </w:pPr>
            <w:r>
              <w:t>Il faut aussi payer l’assurance une fois pend</w:t>
            </w:r>
            <w:r w:rsidR="009C5A9D">
              <w:t xml:space="preserve">ant l’année civile. L’assurance </w:t>
            </w:r>
            <w:r>
              <w:t>habitation est valide pendant un an à partir de la date de renouvellement. Si tu traites avec la même compagnie d’assurances et si le coût de l’assurance de ta nouvelle maison n’est pas le même que celui de ta maison précédente, ta compagnie fera un ajustement pour la période entre la date où tu es entré en possession de la maison et la date de renouvellement de l’assurance.</w:t>
            </w:r>
          </w:p>
        </w:tc>
      </w:tr>
      <w:tr w:rsidR="008A688F" w:rsidRPr="00693EC0" w14:paraId="49D51CF9" w14:textId="77777777" w:rsidTr="00750A6C">
        <w:trPr>
          <w:trHeight w:val="964"/>
        </w:trPr>
        <w:tc>
          <w:tcPr>
            <w:tcW w:w="1844" w:type="dxa"/>
            <w:vAlign w:val="center"/>
          </w:tcPr>
          <w:p w14:paraId="35A475E4" w14:textId="77777777" w:rsidR="008A688F" w:rsidRDefault="008A688F" w:rsidP="00750A6C">
            <w:pPr>
              <w:spacing w:after="0" w:line="240" w:lineRule="auto"/>
            </w:pPr>
            <w:r>
              <w:t>Les frais de déménagement</w:t>
            </w:r>
          </w:p>
        </w:tc>
        <w:tc>
          <w:tcPr>
            <w:tcW w:w="8080" w:type="dxa"/>
            <w:vAlign w:val="center"/>
          </w:tcPr>
          <w:p w14:paraId="014B890B" w14:textId="49645774" w:rsidR="008A688F" w:rsidRDefault="008A688F" w:rsidP="00DF719E">
            <w:pPr>
              <w:spacing w:after="0" w:line="20" w:lineRule="atLeast"/>
            </w:pPr>
            <w:r>
              <w:t xml:space="preserve">Il faudra payer des frais de déménagement, ne serait-ce que pour le prix </w:t>
            </w:r>
            <w:r w:rsidR="00DF719E">
              <w:t>du carburant</w:t>
            </w:r>
            <w:r>
              <w:t xml:space="preserve"> </w:t>
            </w:r>
            <w:r w:rsidR="00265507" w:rsidRPr="00265507">
              <w:br/>
            </w:r>
            <w:r>
              <w:t>si tu t’occupes toi-même du déménagement.</w:t>
            </w:r>
          </w:p>
        </w:tc>
      </w:tr>
      <w:tr w:rsidR="008A688F" w:rsidRPr="00693EC0" w14:paraId="50A1E41F" w14:textId="77777777" w:rsidTr="00750A6C">
        <w:trPr>
          <w:trHeight w:val="850"/>
        </w:trPr>
        <w:tc>
          <w:tcPr>
            <w:tcW w:w="1844" w:type="dxa"/>
            <w:vAlign w:val="center"/>
          </w:tcPr>
          <w:p w14:paraId="0FC55C38" w14:textId="63A7B851" w:rsidR="008A688F" w:rsidRDefault="008A688F" w:rsidP="00750A6C">
            <w:pPr>
              <w:spacing w:after="0" w:line="240" w:lineRule="auto"/>
            </w:pPr>
            <w:r>
              <w:t xml:space="preserve">Les frais </w:t>
            </w:r>
            <w:r w:rsidR="00265507">
              <w:br/>
            </w:r>
            <w:r>
              <w:t>de service</w:t>
            </w:r>
          </w:p>
        </w:tc>
        <w:tc>
          <w:tcPr>
            <w:tcW w:w="8080" w:type="dxa"/>
            <w:vAlign w:val="center"/>
          </w:tcPr>
          <w:p w14:paraId="216F9488" w14:textId="77777777" w:rsidR="008A688F" w:rsidRDefault="008A688F" w:rsidP="00750A6C">
            <w:pPr>
              <w:spacing w:after="0" w:line="20" w:lineRule="atLeast"/>
            </w:pPr>
            <w:r>
              <w:t>Des frais de branchement ou de connexion peuvent être facturés pour les services publics et ils seront indiqués sur ta première facture.</w:t>
            </w:r>
          </w:p>
        </w:tc>
      </w:tr>
      <w:tr w:rsidR="008A688F" w:rsidRPr="00693EC0" w14:paraId="23C40682" w14:textId="77777777" w:rsidTr="00750A6C">
        <w:trPr>
          <w:trHeight w:val="964"/>
        </w:trPr>
        <w:tc>
          <w:tcPr>
            <w:tcW w:w="1844" w:type="dxa"/>
            <w:vAlign w:val="center"/>
          </w:tcPr>
          <w:p w14:paraId="6DB9545F" w14:textId="77777777" w:rsidR="008A688F" w:rsidRDefault="008A688F" w:rsidP="00750A6C">
            <w:pPr>
              <w:spacing w:after="0" w:line="240" w:lineRule="auto"/>
            </w:pPr>
            <w:r>
              <w:t xml:space="preserve">Les réparations </w:t>
            </w:r>
            <w:r w:rsidRPr="008A688F">
              <w:t>immédiates</w:t>
            </w:r>
          </w:p>
        </w:tc>
        <w:tc>
          <w:tcPr>
            <w:tcW w:w="8080" w:type="dxa"/>
            <w:vAlign w:val="center"/>
          </w:tcPr>
          <w:p w14:paraId="79E6BBEA" w14:textId="0200D632" w:rsidR="008A688F" w:rsidRDefault="008A688F" w:rsidP="00750A6C">
            <w:pPr>
              <w:spacing w:after="0" w:line="20" w:lineRule="atLeast"/>
            </w:pPr>
            <w:r>
              <w:t xml:space="preserve">Certaines réparations seront peut-être nécessaires avant même le déménagement. </w:t>
            </w:r>
            <w:r w:rsidR="00265507">
              <w:br/>
            </w:r>
            <w:r>
              <w:t>Tu voudras peut-être négocier le coût de ces réparations avec le vendeur.</w:t>
            </w:r>
          </w:p>
        </w:tc>
      </w:tr>
      <w:tr w:rsidR="008A688F" w:rsidRPr="00693EC0" w14:paraId="60FE2794" w14:textId="77777777" w:rsidTr="00750A6C">
        <w:trPr>
          <w:trHeight w:val="1134"/>
        </w:trPr>
        <w:tc>
          <w:tcPr>
            <w:tcW w:w="1844" w:type="dxa"/>
            <w:vAlign w:val="center"/>
          </w:tcPr>
          <w:p w14:paraId="323A5E80" w14:textId="77777777" w:rsidR="008A688F" w:rsidRDefault="008A688F" w:rsidP="00750A6C">
            <w:pPr>
              <w:spacing w:after="0" w:line="240" w:lineRule="auto"/>
            </w:pPr>
            <w:r>
              <w:t>Les appareils électroménagers et les meubles</w:t>
            </w:r>
          </w:p>
        </w:tc>
        <w:tc>
          <w:tcPr>
            <w:tcW w:w="8080" w:type="dxa"/>
            <w:vAlign w:val="center"/>
          </w:tcPr>
          <w:p w14:paraId="044833F6" w14:textId="77777777" w:rsidR="008A688F" w:rsidRDefault="008A688F" w:rsidP="00750A6C">
            <w:pPr>
              <w:spacing w:after="0" w:line="20" w:lineRule="atLeast"/>
            </w:pPr>
            <w:r>
              <w:t>Parfois, les appareils ménagers sont inclus dans le prix de la maison. S’ils ne le sont pas, tu devras les acheter avant d’y aménager.</w:t>
            </w:r>
          </w:p>
        </w:tc>
      </w:tr>
      <w:tr w:rsidR="008A688F" w:rsidRPr="00693EC0" w14:paraId="39663D67" w14:textId="77777777" w:rsidTr="00750A6C">
        <w:trPr>
          <w:trHeight w:val="1134"/>
        </w:trPr>
        <w:tc>
          <w:tcPr>
            <w:tcW w:w="1844" w:type="dxa"/>
            <w:vAlign w:val="center"/>
          </w:tcPr>
          <w:p w14:paraId="11412FFC" w14:textId="77777777" w:rsidR="008A688F" w:rsidRDefault="008A688F" w:rsidP="00750A6C">
            <w:pPr>
              <w:spacing w:after="0" w:line="240" w:lineRule="auto"/>
            </w:pPr>
            <w:r>
              <w:t>Les coûts de décoration</w:t>
            </w:r>
          </w:p>
        </w:tc>
        <w:tc>
          <w:tcPr>
            <w:tcW w:w="8080" w:type="dxa"/>
            <w:vAlign w:val="center"/>
          </w:tcPr>
          <w:p w14:paraId="0CDA9A83" w14:textId="77777777" w:rsidR="008A688F" w:rsidRDefault="008A688F" w:rsidP="00750A6C">
            <w:pPr>
              <w:spacing w:after="0" w:line="20" w:lineRule="atLeast"/>
            </w:pPr>
            <w:r>
              <w:t>Parfois, un nouveau propriétaire désire repeindre l’intérieur de la maison ou installer un nouveau plancher. Il est généralement plus facile d’effectuer ces rénovations avant d’emménager dans la maison avec tout ce qui t’appartient.</w:t>
            </w:r>
          </w:p>
        </w:tc>
      </w:tr>
    </w:tbl>
    <w:p w14:paraId="74E04518" w14:textId="2A074377" w:rsidR="008A688F" w:rsidRDefault="008A688F" w:rsidP="00140E67">
      <w:pPr>
        <w:rPr>
          <w:b/>
          <w:sz w:val="28"/>
          <w:szCs w:val="28"/>
        </w:rPr>
      </w:pPr>
    </w:p>
    <w:p w14:paraId="73B404F1" w14:textId="32E1B3A4" w:rsidR="001221DC" w:rsidRDefault="001221DC" w:rsidP="00140E67">
      <w:pPr>
        <w:rPr>
          <w:b/>
          <w:sz w:val="28"/>
          <w:szCs w:val="28"/>
        </w:rPr>
      </w:pPr>
    </w:p>
    <w:p w14:paraId="1B06C300" w14:textId="77777777" w:rsidR="001221DC" w:rsidRDefault="001221DC" w:rsidP="001221DC">
      <w:pPr>
        <w:rPr>
          <w:b/>
          <w:sz w:val="28"/>
          <w:szCs w:val="28"/>
        </w:rPr>
      </w:pPr>
      <w:r>
        <w:rPr>
          <w:b/>
          <w:sz w:val="28"/>
          <w:szCs w:val="28"/>
        </w:rPr>
        <w:t>Les coûts initiaux</w:t>
      </w:r>
    </w:p>
    <w:tbl>
      <w:tblPr>
        <w:tblStyle w:val="Grilledutableau"/>
        <w:tblpPr w:leftFromText="180" w:rightFromText="180" w:vertAnchor="page" w:horzAnchor="margin" w:tblpY="2592"/>
        <w:tblW w:w="8897" w:type="dxa"/>
        <w:tblLook w:val="04A0" w:firstRow="1" w:lastRow="0" w:firstColumn="1" w:lastColumn="0" w:noHBand="0" w:noVBand="1"/>
      </w:tblPr>
      <w:tblGrid>
        <w:gridCol w:w="4361"/>
        <w:gridCol w:w="4536"/>
      </w:tblGrid>
      <w:tr w:rsidR="001221DC" w:rsidRPr="007C078B" w14:paraId="07F0DBB2" w14:textId="77777777" w:rsidTr="00750A6C">
        <w:trPr>
          <w:trHeight w:val="1095"/>
        </w:trPr>
        <w:tc>
          <w:tcPr>
            <w:tcW w:w="4361" w:type="dxa"/>
            <w:vAlign w:val="center"/>
          </w:tcPr>
          <w:p w14:paraId="6F952B2F" w14:textId="77777777" w:rsidR="001221DC" w:rsidRDefault="001221DC" w:rsidP="00750A6C">
            <w:pPr>
              <w:spacing w:after="0"/>
            </w:pPr>
            <w:r>
              <w:t>Les frais d’inspection</w:t>
            </w:r>
          </w:p>
        </w:tc>
        <w:tc>
          <w:tcPr>
            <w:tcW w:w="4536" w:type="dxa"/>
            <w:vAlign w:val="center"/>
          </w:tcPr>
          <w:p w14:paraId="3B38AA7A" w14:textId="77777777" w:rsidR="001221DC" w:rsidRDefault="001221DC" w:rsidP="00750A6C">
            <w:pPr>
              <w:spacing w:after="0"/>
            </w:pPr>
            <w:r>
              <w:t>Le rajustement de l’impôt foncier</w:t>
            </w:r>
          </w:p>
        </w:tc>
      </w:tr>
      <w:tr w:rsidR="001221DC" w14:paraId="26A7C289" w14:textId="77777777" w:rsidTr="00750A6C">
        <w:trPr>
          <w:trHeight w:val="1095"/>
        </w:trPr>
        <w:tc>
          <w:tcPr>
            <w:tcW w:w="4361" w:type="dxa"/>
            <w:vAlign w:val="center"/>
          </w:tcPr>
          <w:p w14:paraId="44EC386C" w14:textId="77777777" w:rsidR="001221DC" w:rsidRDefault="001221DC" w:rsidP="00750A6C">
            <w:pPr>
              <w:spacing w:after="0"/>
            </w:pPr>
            <w:r>
              <w:t>Les frais d’évaluation</w:t>
            </w:r>
          </w:p>
        </w:tc>
        <w:tc>
          <w:tcPr>
            <w:tcW w:w="4536" w:type="dxa"/>
            <w:vAlign w:val="center"/>
          </w:tcPr>
          <w:p w14:paraId="0C6C027A" w14:textId="77777777" w:rsidR="001221DC" w:rsidRDefault="001221DC" w:rsidP="00750A6C">
            <w:pPr>
              <w:spacing w:after="0"/>
            </w:pPr>
            <w:r>
              <w:t>Le rajustement d’assurance</w:t>
            </w:r>
          </w:p>
        </w:tc>
      </w:tr>
      <w:tr w:rsidR="001221DC" w14:paraId="40B180F6" w14:textId="77777777" w:rsidTr="00750A6C">
        <w:trPr>
          <w:trHeight w:val="1095"/>
        </w:trPr>
        <w:tc>
          <w:tcPr>
            <w:tcW w:w="4361" w:type="dxa"/>
            <w:vAlign w:val="center"/>
          </w:tcPr>
          <w:p w14:paraId="5AB03775" w14:textId="77777777" w:rsidR="001221DC" w:rsidRDefault="001221DC" w:rsidP="00750A6C">
            <w:pPr>
              <w:spacing w:after="0"/>
            </w:pPr>
            <w:r>
              <w:t xml:space="preserve">Les frais de demande </w:t>
            </w:r>
            <w:r w:rsidRPr="007C078B">
              <w:t>d’emprunt</w:t>
            </w:r>
          </w:p>
        </w:tc>
        <w:tc>
          <w:tcPr>
            <w:tcW w:w="4536" w:type="dxa"/>
            <w:vAlign w:val="center"/>
          </w:tcPr>
          <w:p w14:paraId="4FB3D2F9" w14:textId="77777777" w:rsidR="001221DC" w:rsidRDefault="001221DC" w:rsidP="00750A6C">
            <w:pPr>
              <w:spacing w:after="0"/>
            </w:pPr>
            <w:r>
              <w:t>Les frais de déménagement</w:t>
            </w:r>
          </w:p>
        </w:tc>
      </w:tr>
      <w:tr w:rsidR="001221DC" w14:paraId="12C36E56" w14:textId="77777777" w:rsidTr="00750A6C">
        <w:trPr>
          <w:trHeight w:val="1095"/>
        </w:trPr>
        <w:tc>
          <w:tcPr>
            <w:tcW w:w="4361" w:type="dxa"/>
            <w:vAlign w:val="center"/>
          </w:tcPr>
          <w:p w14:paraId="3134E012" w14:textId="77777777" w:rsidR="001221DC" w:rsidRDefault="001221DC" w:rsidP="00750A6C">
            <w:pPr>
              <w:spacing w:after="0"/>
            </w:pPr>
            <w:r>
              <w:t>La taxe sur les transferts fonciers</w:t>
            </w:r>
          </w:p>
        </w:tc>
        <w:tc>
          <w:tcPr>
            <w:tcW w:w="4536" w:type="dxa"/>
            <w:vAlign w:val="center"/>
          </w:tcPr>
          <w:p w14:paraId="06B2C1DA" w14:textId="77777777" w:rsidR="001221DC" w:rsidRDefault="001221DC" w:rsidP="00750A6C">
            <w:pPr>
              <w:spacing w:after="0"/>
            </w:pPr>
            <w:r>
              <w:t>Les frais de service</w:t>
            </w:r>
          </w:p>
        </w:tc>
      </w:tr>
      <w:tr w:rsidR="001221DC" w:rsidRPr="007C078B" w14:paraId="1D3BA7C9" w14:textId="77777777" w:rsidTr="00750A6C">
        <w:trPr>
          <w:trHeight w:val="1095"/>
        </w:trPr>
        <w:tc>
          <w:tcPr>
            <w:tcW w:w="4361" w:type="dxa"/>
            <w:vAlign w:val="center"/>
          </w:tcPr>
          <w:p w14:paraId="57FD0262" w14:textId="77777777" w:rsidR="001221DC" w:rsidRDefault="001221DC" w:rsidP="00750A6C">
            <w:pPr>
              <w:spacing w:after="0"/>
            </w:pPr>
            <w:r>
              <w:t>Le certificat d’arpentage</w:t>
            </w:r>
          </w:p>
        </w:tc>
        <w:tc>
          <w:tcPr>
            <w:tcW w:w="4536" w:type="dxa"/>
            <w:vAlign w:val="center"/>
          </w:tcPr>
          <w:p w14:paraId="685B9A4F" w14:textId="77777777" w:rsidR="001221DC" w:rsidRDefault="001221DC" w:rsidP="00750A6C">
            <w:pPr>
              <w:spacing w:after="0"/>
            </w:pPr>
            <w:r>
              <w:t xml:space="preserve">Les réparations </w:t>
            </w:r>
            <w:r w:rsidRPr="008A688F">
              <w:t xml:space="preserve">immédiates </w:t>
            </w:r>
          </w:p>
        </w:tc>
      </w:tr>
      <w:tr w:rsidR="001221DC" w:rsidRPr="007C078B" w14:paraId="08B6D1F5" w14:textId="77777777" w:rsidTr="00750A6C">
        <w:trPr>
          <w:trHeight w:val="1095"/>
        </w:trPr>
        <w:tc>
          <w:tcPr>
            <w:tcW w:w="4361" w:type="dxa"/>
            <w:vAlign w:val="center"/>
          </w:tcPr>
          <w:p w14:paraId="6EDE0192" w14:textId="77777777" w:rsidR="001221DC" w:rsidRDefault="001221DC" w:rsidP="00750A6C">
            <w:pPr>
              <w:spacing w:after="0"/>
            </w:pPr>
            <w:r>
              <w:t>L’arpentage de la propriété</w:t>
            </w:r>
          </w:p>
        </w:tc>
        <w:tc>
          <w:tcPr>
            <w:tcW w:w="4536" w:type="dxa"/>
            <w:vAlign w:val="center"/>
          </w:tcPr>
          <w:p w14:paraId="52A46B57" w14:textId="77777777" w:rsidR="001221DC" w:rsidRDefault="001221DC" w:rsidP="00750A6C">
            <w:pPr>
              <w:spacing w:after="0"/>
            </w:pPr>
            <w:r>
              <w:t>Les appareils électroménagers et les meubles</w:t>
            </w:r>
          </w:p>
        </w:tc>
      </w:tr>
      <w:tr w:rsidR="001221DC" w:rsidRPr="007C078B" w14:paraId="4B85CA2D" w14:textId="77777777" w:rsidTr="00750A6C">
        <w:trPr>
          <w:trHeight w:val="1095"/>
        </w:trPr>
        <w:tc>
          <w:tcPr>
            <w:tcW w:w="4361" w:type="dxa"/>
            <w:vAlign w:val="center"/>
          </w:tcPr>
          <w:p w14:paraId="12DF01C1" w14:textId="77777777" w:rsidR="001221DC" w:rsidRDefault="001221DC" w:rsidP="00750A6C">
            <w:pPr>
              <w:spacing w:after="0"/>
            </w:pPr>
            <w:r>
              <w:t>Les frais juridiques supplémentaires</w:t>
            </w:r>
          </w:p>
        </w:tc>
        <w:tc>
          <w:tcPr>
            <w:tcW w:w="4536" w:type="dxa"/>
            <w:vAlign w:val="center"/>
          </w:tcPr>
          <w:p w14:paraId="59131126" w14:textId="77777777" w:rsidR="001221DC" w:rsidRDefault="001221DC" w:rsidP="00750A6C">
            <w:pPr>
              <w:spacing w:after="0"/>
            </w:pPr>
            <w:r>
              <w:t>Les coûts de décoration</w:t>
            </w:r>
          </w:p>
        </w:tc>
      </w:tr>
      <w:tr w:rsidR="001221DC" w14:paraId="0E6039DE" w14:textId="77777777" w:rsidTr="00750A6C">
        <w:trPr>
          <w:trHeight w:val="1095"/>
        </w:trPr>
        <w:tc>
          <w:tcPr>
            <w:tcW w:w="4361" w:type="dxa"/>
            <w:vAlign w:val="center"/>
          </w:tcPr>
          <w:p w14:paraId="239C21D8" w14:textId="77777777" w:rsidR="001221DC" w:rsidRDefault="001221DC" w:rsidP="00750A6C">
            <w:pPr>
              <w:spacing w:after="0"/>
            </w:pPr>
            <w:r>
              <w:t>Les frais d’avocat</w:t>
            </w:r>
          </w:p>
        </w:tc>
        <w:tc>
          <w:tcPr>
            <w:tcW w:w="4536" w:type="dxa"/>
            <w:vAlign w:val="center"/>
          </w:tcPr>
          <w:p w14:paraId="03EF4CC1" w14:textId="77777777" w:rsidR="001221DC" w:rsidRPr="00313A34" w:rsidRDefault="001221DC" w:rsidP="00750A6C">
            <w:pPr>
              <w:spacing w:after="0"/>
              <w:rPr>
                <w:color w:val="FF0000"/>
              </w:rPr>
            </w:pPr>
            <w:r w:rsidRPr="008A688F">
              <w:t>Les taxes</w:t>
            </w:r>
            <w:r>
              <w:t xml:space="preserve"> de vente</w:t>
            </w:r>
          </w:p>
        </w:tc>
      </w:tr>
      <w:tr w:rsidR="001221DC" w14:paraId="2EA800F3" w14:textId="77777777" w:rsidTr="00750A6C">
        <w:trPr>
          <w:trHeight w:val="1095"/>
        </w:trPr>
        <w:tc>
          <w:tcPr>
            <w:tcW w:w="4361" w:type="dxa"/>
            <w:vAlign w:val="center"/>
          </w:tcPr>
          <w:p w14:paraId="2BB74DF3" w14:textId="2ABBF0B7" w:rsidR="001221DC" w:rsidRDefault="001221DC" w:rsidP="009C5A9D">
            <w:pPr>
              <w:spacing w:after="0"/>
            </w:pPr>
            <w:r>
              <w:t>Le rajustement des intérêts</w:t>
            </w:r>
          </w:p>
        </w:tc>
        <w:tc>
          <w:tcPr>
            <w:tcW w:w="4536" w:type="dxa"/>
            <w:vAlign w:val="center"/>
          </w:tcPr>
          <w:p w14:paraId="323628E3" w14:textId="77777777" w:rsidR="001221DC" w:rsidRDefault="001221DC" w:rsidP="00750A6C">
            <w:pPr>
              <w:spacing w:after="0"/>
            </w:pPr>
          </w:p>
          <w:p w14:paraId="62CB5C7D" w14:textId="45598838" w:rsidR="001221DC" w:rsidRDefault="001221DC" w:rsidP="00750A6C">
            <w:pPr>
              <w:spacing w:after="0"/>
            </w:pPr>
          </w:p>
        </w:tc>
      </w:tr>
    </w:tbl>
    <w:p w14:paraId="26014D7F" w14:textId="77777777" w:rsidR="001221DC" w:rsidRDefault="001221DC" w:rsidP="00140E67">
      <w:pPr>
        <w:rPr>
          <w:b/>
          <w:sz w:val="28"/>
          <w:szCs w:val="28"/>
        </w:rPr>
      </w:pPr>
    </w:p>
    <w:p w14:paraId="01F666BA" w14:textId="77777777" w:rsidR="001221DC" w:rsidRPr="008A688F" w:rsidRDefault="001221DC" w:rsidP="00140E67">
      <w:pPr>
        <w:rPr>
          <w:b/>
          <w:sz w:val="28"/>
          <w:szCs w:val="28"/>
        </w:rPr>
      </w:pPr>
    </w:p>
    <w:sectPr w:rsidR="001221DC" w:rsidRPr="008A688F" w:rsidSect="00295F53">
      <w:headerReference w:type="default" r:id="rId7"/>
      <w:footerReference w:type="default" r:id="rId8"/>
      <w:pgSz w:w="12240" w:h="15840"/>
      <w:pgMar w:top="1271" w:right="1440" w:bottom="709"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1A73" w14:textId="77777777" w:rsidR="00295F53" w:rsidRDefault="00295F53" w:rsidP="00295F53">
      <w:pPr>
        <w:spacing w:after="0" w:line="240" w:lineRule="auto"/>
      </w:pPr>
      <w:r>
        <w:separator/>
      </w:r>
    </w:p>
  </w:endnote>
  <w:endnote w:type="continuationSeparator" w:id="0">
    <w:p w14:paraId="3C3B4E10" w14:textId="77777777" w:rsidR="00295F53" w:rsidRDefault="00295F53" w:rsidP="0029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ECED" w14:textId="6F2329A3" w:rsidR="00B04D21" w:rsidRDefault="00B04D21" w:rsidP="00B04D21">
    <w:pPr>
      <w:pStyle w:val="Pieddepage"/>
      <w:tabs>
        <w:tab w:val="clear" w:pos="9360"/>
      </w:tabs>
      <w:ind w:right="-563"/>
      <w:jc w:val="right"/>
    </w:pPr>
    <w:r>
      <w:rPr>
        <w:noProof/>
        <w:lang w:val="en-CA" w:eastAsia="en-CA"/>
      </w:rPr>
      <mc:AlternateContent>
        <mc:Choice Requires="wps">
          <w:drawing>
            <wp:anchor distT="0" distB="0" distL="114300" distR="114300" simplePos="0" relativeHeight="251673600" behindDoc="0" locked="0" layoutInCell="1" allowOverlap="1" wp14:anchorId="288CA1DA" wp14:editId="3629E9FC">
              <wp:simplePos x="0" y="0"/>
              <wp:positionH relativeFrom="margin">
                <wp:posOffset>-518984</wp:posOffset>
              </wp:positionH>
              <wp:positionV relativeFrom="paragraph">
                <wp:posOffset>-71240</wp:posOffset>
              </wp:positionV>
              <wp:extent cx="5109519" cy="3549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5109519" cy="354965"/>
                      </a:xfrm>
                      <a:prstGeom prst="rect">
                        <a:avLst/>
                      </a:prstGeom>
                      <a:noFill/>
                      <a:ln w="6350">
                        <a:noFill/>
                      </a:ln>
                    </wps:spPr>
                    <wps:txbx>
                      <w:txbxContent>
                        <w:p w14:paraId="61475FE5" w14:textId="2B12CD0B" w:rsidR="00B04D21" w:rsidRPr="000C732C" w:rsidRDefault="00B04D21" w:rsidP="00B04D21">
                          <w:pPr>
                            <w:pStyle w:val="Pieddepage"/>
                            <w:rPr>
                              <w:sz w:val="20"/>
                            </w:rPr>
                          </w:pPr>
                          <w:r>
                            <w:rPr>
                              <w:sz w:val="20"/>
                            </w:rPr>
                            <w:t>Annexe J</w:t>
                          </w:r>
                          <w:r w:rsidR="00734FB9">
                            <w:rPr>
                              <w:sz w:val="20"/>
                            </w:rPr>
                            <w:t>, Les finances immobilières, M</w:t>
                          </w:r>
                          <w:r w:rsidRPr="000C732C">
                            <w:rPr>
                              <w:sz w:val="20"/>
                            </w:rPr>
                            <w:t>athématiques au quotidien, 12</w:t>
                          </w:r>
                          <w:r w:rsidRPr="000C732C">
                            <w:rPr>
                              <w:sz w:val="20"/>
                              <w:vertAlign w:val="superscript"/>
                            </w:rPr>
                            <w:t>e</w:t>
                          </w:r>
                          <w:r w:rsidRPr="000C732C">
                            <w:rPr>
                              <w:sz w:val="20"/>
                            </w:rPr>
                            <w:t xml:space="preserve"> année</w:t>
                          </w:r>
                        </w:p>
                        <w:p w14:paraId="0A36CBA1" w14:textId="77777777" w:rsidR="00B04D21" w:rsidRPr="000C732C" w:rsidRDefault="00B04D21" w:rsidP="00B04D21">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CA1DA" id="_x0000_t202" coordsize="21600,21600" o:spt="202" path="m,l,21600r21600,l21600,xe">
              <v:stroke joinstyle="miter"/>
              <v:path gradientshapeok="t" o:connecttype="rect"/>
            </v:shapetype>
            <v:shape id="Text Box 5" o:spid="_x0000_s1027" type="#_x0000_t202" style="position:absolute;left:0;text-align:left;margin-left:-40.85pt;margin-top:-5.6pt;width:402.3pt;height:2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" filled="f" stroked="f" strokeweight=".5pt">
              <v:textbox>
                <w:txbxContent>
                  <w:p w14:paraId="61475FE5" w14:textId="2B12CD0B" w:rsidR="00B04D21" w:rsidRPr="000C732C" w:rsidRDefault="00B04D21" w:rsidP="00B04D21">
                    <w:pPr>
                      <w:pStyle w:val="Pieddepage"/>
                      <w:rPr>
                        <w:sz w:val="20"/>
                      </w:rPr>
                    </w:pPr>
                    <w:r>
                      <w:rPr>
                        <w:sz w:val="20"/>
                      </w:rPr>
                      <w:t>Annexe J</w:t>
                    </w:r>
                    <w:r w:rsidR="00734FB9">
                      <w:rPr>
                        <w:sz w:val="20"/>
                      </w:rPr>
                      <w:t>, Les finances immobilières, M</w:t>
                    </w:r>
                    <w:r w:rsidRPr="000C732C">
                      <w:rPr>
                        <w:sz w:val="20"/>
                      </w:rPr>
                      <w:t>athématiques au quotidien, 12</w:t>
                    </w:r>
                    <w:r w:rsidRPr="000C732C">
                      <w:rPr>
                        <w:sz w:val="20"/>
                        <w:vertAlign w:val="superscript"/>
                      </w:rPr>
                      <w:t>e</w:t>
                    </w:r>
                    <w:r w:rsidRPr="000C732C">
                      <w:rPr>
                        <w:sz w:val="20"/>
                      </w:rPr>
                      <w:t xml:space="preserve"> année</w:t>
                    </w:r>
                  </w:p>
                  <w:p w14:paraId="0A36CBA1" w14:textId="77777777" w:rsidR="00B04D21" w:rsidRPr="000C732C" w:rsidRDefault="00B04D21" w:rsidP="00B04D21">
                    <w:pPr>
                      <w:rPr>
                        <w:sz w:val="24"/>
                      </w:rPr>
                    </w:pPr>
                  </w:p>
                </w:txbxContent>
              </v:textbox>
              <w10:wrap anchorx="margin"/>
            </v:shape>
          </w:pict>
        </mc:Fallback>
      </mc:AlternateContent>
    </w:r>
    <w:r>
      <w:rPr>
        <w:noProof/>
        <w:lang w:val="en-CA" w:eastAsia="en-CA"/>
      </w:rPr>
      <mc:AlternateContent>
        <mc:Choice Requires="wps">
          <w:drawing>
            <wp:anchor distT="0" distB="0" distL="114300" distR="114300" simplePos="0" relativeHeight="251674624" behindDoc="0" locked="0" layoutInCell="1" allowOverlap="1" wp14:anchorId="01022E76" wp14:editId="4BBD0409">
              <wp:simplePos x="0" y="0"/>
              <wp:positionH relativeFrom="margin">
                <wp:posOffset>-407944</wp:posOffset>
              </wp:positionH>
              <wp:positionV relativeFrom="paragraph">
                <wp:posOffset>-55880</wp:posOffset>
              </wp:positionV>
              <wp:extent cx="6730210" cy="15379"/>
              <wp:effectExtent l="0" t="0" r="13970" b="22860"/>
              <wp:wrapNone/>
              <wp:docPr id="4" name="Straight Connector 4"/>
              <wp:cNvGraphicFramePr/>
              <a:graphic xmlns:a="http://schemas.openxmlformats.org/drawingml/2006/main">
                <a:graphicData uri="http://schemas.microsoft.com/office/word/2010/wordprocessingShape">
                  <wps:wsp>
                    <wps:cNvCnPr/>
                    <wps:spPr>
                      <a:xfrm flipH="1" flipV="1">
                        <a:off x="0" y="0"/>
                        <a:ext cx="6730210" cy="15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6BC99" id="Straight Connector 4" o:spid="_x0000_s1026" style="position:absolute;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pt,-4.4pt" to="497.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" strokecolor="black [3213]" strokeweight=".5pt">
              <v:stroke joinstyle="miter"/>
              <w10:wrap anchorx="margin"/>
            </v:line>
          </w:pict>
        </mc:Fallback>
      </mc:AlternateContent>
    </w:r>
    <w:r>
      <w:tab/>
    </w:r>
    <w:sdt>
      <w:sdtPr>
        <w:id w:val="-1782874568"/>
        <w:docPartObj>
          <w:docPartGallery w:val="Page Numbers (Bottom of Page)"/>
          <w:docPartUnique/>
        </w:docPartObj>
      </w:sdtPr>
      <w:sdtEndPr>
        <w:rPr>
          <w:noProof/>
        </w:rPr>
      </w:sdtEndPr>
      <w:sdtContent>
        <w:r w:rsidRPr="000C732C">
          <w:rPr>
            <w:sz w:val="20"/>
          </w:rPr>
          <w:fldChar w:fldCharType="begin"/>
        </w:r>
        <w:r w:rsidRPr="000C732C">
          <w:rPr>
            <w:sz w:val="20"/>
          </w:rPr>
          <w:instrText xml:space="preserve"> PAGE   \* MERGEFORMAT </w:instrText>
        </w:r>
        <w:r w:rsidRPr="000C732C">
          <w:rPr>
            <w:sz w:val="20"/>
          </w:rPr>
          <w:fldChar w:fldCharType="separate"/>
        </w:r>
        <w:r w:rsidR="00734FB9">
          <w:rPr>
            <w:noProof/>
            <w:sz w:val="20"/>
          </w:rPr>
          <w:t>3</w:t>
        </w:r>
        <w:r w:rsidRPr="000C732C">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742B" w14:textId="77777777" w:rsidR="00295F53" w:rsidRDefault="00295F53" w:rsidP="00295F53">
      <w:pPr>
        <w:spacing w:after="0" w:line="240" w:lineRule="auto"/>
      </w:pPr>
      <w:r>
        <w:separator/>
      </w:r>
    </w:p>
  </w:footnote>
  <w:footnote w:type="continuationSeparator" w:id="0">
    <w:p w14:paraId="0F1D7B60" w14:textId="77777777" w:rsidR="00295F53" w:rsidRDefault="00295F53" w:rsidP="0029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AFC4" w14:textId="36115161" w:rsidR="00295F53" w:rsidRPr="00295F53" w:rsidRDefault="004737A6" w:rsidP="00295F53">
    <w:pPr>
      <w:pStyle w:val="En-tte"/>
      <w:ind w:left="-709"/>
    </w:pPr>
    <w:r>
      <w:rPr>
        <w:noProof/>
        <w:lang w:val="en-CA" w:eastAsia="en-CA"/>
      </w:rPr>
      <mc:AlternateContent>
        <mc:Choice Requires="wps">
          <w:drawing>
            <wp:anchor distT="0" distB="0" distL="114300" distR="114300" simplePos="0" relativeHeight="251660288" behindDoc="0" locked="0" layoutInCell="1" allowOverlap="1" wp14:anchorId="0973CE38" wp14:editId="3ABAE594">
              <wp:simplePos x="0" y="0"/>
              <wp:positionH relativeFrom="column">
                <wp:posOffset>-450215</wp:posOffset>
              </wp:positionH>
              <wp:positionV relativeFrom="paragraph">
                <wp:posOffset>210489</wp:posOffset>
              </wp:positionV>
              <wp:extent cx="6270625"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6270625" cy="0"/>
                      </a:xfrm>
                      <a:prstGeom prst="line">
                        <a:avLst/>
                      </a:prstGeom>
                      <a:ln w="19050">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78257" id="Connecteur droit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6.55pt" to="45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" strokecolor="#069" strokeweight="1.5pt">
              <v:stroke joinstyle="miter"/>
            </v:line>
          </w:pict>
        </mc:Fallback>
      </mc:AlternateContent>
    </w:r>
    <w:r w:rsidR="00137B51">
      <w:rPr>
        <w:noProof/>
        <w:lang w:val="en-CA" w:eastAsia="en-CA"/>
      </w:rPr>
      <mc:AlternateContent>
        <mc:Choice Requires="wps">
          <w:drawing>
            <wp:anchor distT="0" distB="0" distL="114300" distR="114300" simplePos="0" relativeHeight="251671552" behindDoc="0" locked="0" layoutInCell="1" allowOverlap="1" wp14:anchorId="2F063130" wp14:editId="1B99D0C9">
              <wp:simplePos x="0" y="0"/>
              <wp:positionH relativeFrom="column">
                <wp:posOffset>-1104948</wp:posOffset>
              </wp:positionH>
              <wp:positionV relativeFrom="paragraph">
                <wp:posOffset>3493286</wp:posOffset>
              </wp:positionV>
              <wp:extent cx="801394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801394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B627F" id="Connecteur droit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7pt,275.05pt" to="544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" stroked="f" strokeweight=".5pt">
              <v:stroke joinstyle="miter"/>
            </v:line>
          </w:pict>
        </mc:Fallback>
      </mc:AlternateContent>
    </w:r>
    <w:r w:rsidR="00295F53">
      <w:rPr>
        <w:noProof/>
        <w:lang w:val="en-CA" w:eastAsia="en-CA"/>
      </w:rPr>
      <mc:AlternateContent>
        <mc:Choice Requires="wps">
          <w:drawing>
            <wp:anchor distT="0" distB="0" distL="114300" distR="114300" simplePos="0" relativeHeight="251661312" behindDoc="0" locked="0" layoutInCell="1" allowOverlap="1" wp14:anchorId="76EB7A65" wp14:editId="42C36A8E">
              <wp:simplePos x="0" y="0"/>
              <wp:positionH relativeFrom="column">
                <wp:posOffset>5819775</wp:posOffset>
              </wp:positionH>
              <wp:positionV relativeFrom="paragraph">
                <wp:posOffset>-6824</wp:posOffset>
              </wp:positionV>
              <wp:extent cx="1002665" cy="3270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002665" cy="327025"/>
                      </a:xfrm>
                      <a:prstGeom prst="rect">
                        <a:avLst/>
                      </a:prstGeom>
                      <a:noFill/>
                      <a:ln w="6350">
                        <a:noFill/>
                      </a:ln>
                    </wps:spPr>
                    <wps:txbx>
                      <w:txbxContent>
                        <w:p w14:paraId="133399FC" w14:textId="0A24EB0A" w:rsidR="00295F53" w:rsidRPr="00295F53" w:rsidRDefault="00295F53">
                          <w:pPr>
                            <w:rPr>
                              <w:color w:val="FFFFFF" w:themeColor="background1"/>
                              <w:sz w:val="28"/>
                            </w:rPr>
                          </w:pPr>
                          <w:r w:rsidRPr="00295F53">
                            <w:rPr>
                              <w:color w:val="FFFFFF" w:themeColor="background1"/>
                              <w:sz w:val="28"/>
                            </w:rPr>
                            <w:t xml:space="preserve">Annexe </w:t>
                          </w:r>
                          <w:r w:rsidR="000E055E">
                            <w:rPr>
                              <w:color w:val="FFFFFF" w:themeColor="background1"/>
                              <w:sz w:val="28"/>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B7A65" id="_x0000_t202" coordsize="21600,21600" o:spt="202" path="m,l,21600r21600,l21600,xe">
              <v:stroke joinstyle="miter"/>
              <v:path gradientshapeok="t" o:connecttype="rect"/>
            </v:shapetype>
            <v:shape id="Zone de texte 3" o:spid="_x0000_s1026" type="#_x0000_t202" style="position:absolute;left:0;text-align:left;margin-left:458.25pt;margin-top:-.55pt;width:78.9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" filled="f" stroked="f" strokeweight=".5pt">
              <v:textbox>
                <w:txbxContent>
                  <w:p w14:paraId="133399FC" w14:textId="0A24EB0A" w:rsidR="00295F53" w:rsidRPr="00295F53" w:rsidRDefault="00295F53">
                    <w:pPr>
                      <w:rPr>
                        <w:color w:val="FFFFFF" w:themeColor="background1"/>
                        <w:sz w:val="28"/>
                      </w:rPr>
                    </w:pPr>
                    <w:r w:rsidRPr="00295F53">
                      <w:rPr>
                        <w:color w:val="FFFFFF" w:themeColor="background1"/>
                        <w:sz w:val="28"/>
                      </w:rPr>
                      <w:t xml:space="preserve">Annexe </w:t>
                    </w:r>
                    <w:r w:rsidR="000E055E">
                      <w:rPr>
                        <w:color w:val="FFFFFF" w:themeColor="background1"/>
                        <w:sz w:val="28"/>
                      </w:rPr>
                      <w:t>J</w:t>
                    </w:r>
                  </w:p>
                </w:txbxContent>
              </v:textbox>
            </v:shape>
          </w:pict>
        </mc:Fallback>
      </mc:AlternateContent>
    </w:r>
    <w:r w:rsidR="00295F53">
      <w:rPr>
        <w:noProof/>
        <w:lang w:val="en-CA" w:eastAsia="en-CA"/>
      </w:rPr>
      <mc:AlternateContent>
        <mc:Choice Requires="wps">
          <w:drawing>
            <wp:anchor distT="0" distB="0" distL="114300" distR="114300" simplePos="0" relativeHeight="251659264" behindDoc="0" locked="0" layoutInCell="1" allowOverlap="1" wp14:anchorId="5DDB98C9" wp14:editId="4C8130A2">
              <wp:simplePos x="0" y="0"/>
              <wp:positionH relativeFrom="column">
                <wp:posOffset>5779827</wp:posOffset>
              </wp:positionH>
              <wp:positionV relativeFrom="paragraph">
                <wp:posOffset>27684</wp:posOffset>
              </wp:positionV>
              <wp:extent cx="1138934" cy="259080"/>
              <wp:effectExtent l="0" t="0" r="4445" b="7620"/>
              <wp:wrapNone/>
              <wp:docPr id="1" name="Rectangle 1"/>
              <wp:cNvGraphicFramePr/>
              <a:graphic xmlns:a="http://schemas.openxmlformats.org/drawingml/2006/main">
                <a:graphicData uri="http://schemas.microsoft.com/office/word/2010/wordprocessingShape">
                  <wps:wsp>
                    <wps:cNvSpPr/>
                    <wps:spPr>
                      <a:xfrm>
                        <a:off x="0" y="0"/>
                        <a:ext cx="1138934" cy="259080"/>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A6F89" id="Rectangle 1" o:spid="_x0000_s1026" style="position:absolute;margin-left:455.1pt;margin-top:2.2pt;width:89.7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" fillcolor="#069" stroked="f" strokeweight="1pt"/>
          </w:pict>
        </mc:Fallback>
      </mc:AlternateContent>
    </w:r>
    <w:r w:rsidR="00140E67">
      <w:t>Les coûts initiaux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570"/>
    <w:multiLevelType w:val="hybridMultilevel"/>
    <w:tmpl w:val="37A4DCB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3222856"/>
    <w:multiLevelType w:val="hybridMultilevel"/>
    <w:tmpl w:val="1E5AB8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8D465B3"/>
    <w:multiLevelType w:val="hybridMultilevel"/>
    <w:tmpl w:val="BBD0ABC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CF96454"/>
    <w:multiLevelType w:val="hybridMultilevel"/>
    <w:tmpl w:val="B14C4F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53"/>
    <w:rsid w:val="0000231B"/>
    <w:rsid w:val="000C5A1A"/>
    <w:rsid w:val="000E055E"/>
    <w:rsid w:val="00103F5D"/>
    <w:rsid w:val="00121527"/>
    <w:rsid w:val="001221DC"/>
    <w:rsid w:val="00137B51"/>
    <w:rsid w:val="00140E67"/>
    <w:rsid w:val="0017233B"/>
    <w:rsid w:val="0023221B"/>
    <w:rsid w:val="00265507"/>
    <w:rsid w:val="00295F53"/>
    <w:rsid w:val="0031094C"/>
    <w:rsid w:val="00334411"/>
    <w:rsid w:val="003A01B5"/>
    <w:rsid w:val="003F4EF9"/>
    <w:rsid w:val="0046669B"/>
    <w:rsid w:val="004737A6"/>
    <w:rsid w:val="004B5067"/>
    <w:rsid w:val="00514841"/>
    <w:rsid w:val="005418A6"/>
    <w:rsid w:val="005D7D0D"/>
    <w:rsid w:val="00604F52"/>
    <w:rsid w:val="006127C3"/>
    <w:rsid w:val="00734FB9"/>
    <w:rsid w:val="00750A6C"/>
    <w:rsid w:val="007E3F4B"/>
    <w:rsid w:val="00846E35"/>
    <w:rsid w:val="00863BA5"/>
    <w:rsid w:val="008A688F"/>
    <w:rsid w:val="0099232A"/>
    <w:rsid w:val="009C5A9D"/>
    <w:rsid w:val="009D699A"/>
    <w:rsid w:val="009E383E"/>
    <w:rsid w:val="00A60C19"/>
    <w:rsid w:val="00B04D21"/>
    <w:rsid w:val="00B763CA"/>
    <w:rsid w:val="00C30DEF"/>
    <w:rsid w:val="00D84C97"/>
    <w:rsid w:val="00DF719E"/>
    <w:rsid w:val="00E5634A"/>
    <w:rsid w:val="00E63C9A"/>
    <w:rsid w:val="00EC2A87"/>
    <w:rsid w:val="00F04EFC"/>
    <w:rsid w:val="00F5237F"/>
    <w:rsid w:val="00F832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F7F5"/>
  <w15:chartTrackingRefBased/>
  <w15:docId w15:val="{71272CCD-4525-4FC6-9C32-55C83EFC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7A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F53"/>
    <w:pPr>
      <w:tabs>
        <w:tab w:val="center" w:pos="4680"/>
        <w:tab w:val="right" w:pos="9360"/>
      </w:tabs>
      <w:spacing w:after="0" w:line="240" w:lineRule="auto"/>
    </w:pPr>
  </w:style>
  <w:style w:type="character" w:customStyle="1" w:styleId="En-tteCar">
    <w:name w:val="En-tête Car"/>
    <w:basedOn w:val="Policepardfaut"/>
    <w:link w:val="En-tte"/>
    <w:uiPriority w:val="99"/>
    <w:rsid w:val="00295F53"/>
  </w:style>
  <w:style w:type="paragraph" w:styleId="Pieddepage">
    <w:name w:val="footer"/>
    <w:basedOn w:val="Normal"/>
    <w:link w:val="PieddepageCar"/>
    <w:uiPriority w:val="99"/>
    <w:unhideWhenUsed/>
    <w:rsid w:val="00295F5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95F53"/>
  </w:style>
  <w:style w:type="table" w:styleId="Grilledutableau">
    <w:name w:val="Table Grid"/>
    <w:basedOn w:val="TableauNormal"/>
    <w:uiPriority w:val="59"/>
    <w:rsid w:val="0029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37A6"/>
    <w:pPr>
      <w:ind w:left="720"/>
      <w:contextualSpacing/>
    </w:pPr>
    <w:rPr>
      <w:lang w:val="en-CA"/>
    </w:rPr>
  </w:style>
  <w:style w:type="character" w:styleId="Marquedecommentaire">
    <w:name w:val="annotation reference"/>
    <w:basedOn w:val="Policepardfaut"/>
    <w:uiPriority w:val="99"/>
    <w:semiHidden/>
    <w:unhideWhenUsed/>
    <w:rsid w:val="00334411"/>
    <w:rPr>
      <w:sz w:val="16"/>
      <w:szCs w:val="16"/>
    </w:rPr>
  </w:style>
  <w:style w:type="paragraph" w:styleId="Commentaire">
    <w:name w:val="annotation text"/>
    <w:basedOn w:val="Normal"/>
    <w:link w:val="CommentaireCar"/>
    <w:uiPriority w:val="99"/>
    <w:semiHidden/>
    <w:unhideWhenUsed/>
    <w:rsid w:val="00334411"/>
    <w:pPr>
      <w:spacing w:line="240" w:lineRule="auto"/>
    </w:pPr>
    <w:rPr>
      <w:sz w:val="20"/>
      <w:szCs w:val="20"/>
    </w:rPr>
  </w:style>
  <w:style w:type="character" w:customStyle="1" w:styleId="CommentaireCar">
    <w:name w:val="Commentaire Car"/>
    <w:basedOn w:val="Policepardfaut"/>
    <w:link w:val="Commentaire"/>
    <w:uiPriority w:val="99"/>
    <w:semiHidden/>
    <w:rsid w:val="00334411"/>
    <w:rPr>
      <w:sz w:val="20"/>
      <w:szCs w:val="20"/>
    </w:rPr>
  </w:style>
  <w:style w:type="paragraph" w:styleId="Objetducommentaire">
    <w:name w:val="annotation subject"/>
    <w:basedOn w:val="Commentaire"/>
    <w:next w:val="Commentaire"/>
    <w:link w:val="ObjetducommentaireCar"/>
    <w:uiPriority w:val="99"/>
    <w:semiHidden/>
    <w:unhideWhenUsed/>
    <w:rsid w:val="00334411"/>
    <w:rPr>
      <w:b/>
      <w:bCs/>
    </w:rPr>
  </w:style>
  <w:style w:type="character" w:customStyle="1" w:styleId="ObjetducommentaireCar">
    <w:name w:val="Objet du commentaire Car"/>
    <w:basedOn w:val="CommentaireCar"/>
    <w:link w:val="Objetducommentaire"/>
    <w:uiPriority w:val="99"/>
    <w:semiHidden/>
    <w:rsid w:val="00334411"/>
    <w:rPr>
      <w:b/>
      <w:bCs/>
      <w:sz w:val="20"/>
      <w:szCs w:val="20"/>
    </w:rPr>
  </w:style>
  <w:style w:type="paragraph" w:styleId="Textedebulles">
    <w:name w:val="Balloon Text"/>
    <w:basedOn w:val="Normal"/>
    <w:link w:val="TextedebullesCar"/>
    <w:uiPriority w:val="99"/>
    <w:semiHidden/>
    <w:unhideWhenUsed/>
    <w:rsid w:val="003344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4411"/>
    <w:rPr>
      <w:rFonts w:ascii="Segoe UI" w:hAnsi="Segoe UI" w:cs="Segoe UI"/>
      <w:sz w:val="18"/>
      <w:szCs w:val="18"/>
    </w:rPr>
  </w:style>
  <w:style w:type="paragraph" w:customStyle="1" w:styleId="Pa7">
    <w:name w:val="Pa7"/>
    <w:basedOn w:val="Normal"/>
    <w:next w:val="Normal"/>
    <w:uiPriority w:val="99"/>
    <w:rsid w:val="009D699A"/>
    <w:pPr>
      <w:autoSpaceDE w:val="0"/>
      <w:autoSpaceDN w:val="0"/>
      <w:adjustRightInd w:val="0"/>
      <w:spacing w:after="0" w:line="241" w:lineRule="atLeast"/>
    </w:pPr>
    <w:rPr>
      <w:rFonts w:ascii="Verdana" w:hAnsi="Verdana"/>
      <w:sz w:val="24"/>
      <w:szCs w:val="24"/>
      <w:lang w:val="en-CA"/>
    </w:rPr>
  </w:style>
  <w:style w:type="character" w:customStyle="1" w:styleId="A9">
    <w:name w:val="A9"/>
    <w:uiPriority w:val="99"/>
    <w:rsid w:val="009D699A"/>
    <w:rPr>
      <w:rFonts w:cs="Verdana"/>
      <w:b/>
      <w:bCs/>
      <w:color w:val="000000"/>
      <w:sz w:val="20"/>
      <w:szCs w:val="20"/>
    </w:rPr>
  </w:style>
  <w:style w:type="paragraph" w:customStyle="1" w:styleId="Pa42">
    <w:name w:val="Pa42"/>
    <w:basedOn w:val="Normal"/>
    <w:next w:val="Normal"/>
    <w:uiPriority w:val="99"/>
    <w:rsid w:val="009D699A"/>
    <w:pPr>
      <w:autoSpaceDE w:val="0"/>
      <w:autoSpaceDN w:val="0"/>
      <w:adjustRightInd w:val="0"/>
      <w:spacing w:after="0" w:line="241" w:lineRule="atLeast"/>
    </w:pPr>
    <w:rPr>
      <w:rFonts w:ascii="Verdana" w:hAnsi="Verdana"/>
      <w:sz w:val="24"/>
      <w:szCs w:val="24"/>
      <w:lang w:val="en-CA"/>
    </w:rPr>
  </w:style>
  <w:style w:type="character" w:customStyle="1" w:styleId="A6">
    <w:name w:val="A6"/>
    <w:uiPriority w:val="99"/>
    <w:rsid w:val="009D699A"/>
    <w:rPr>
      <w:rFonts w:ascii="Book Antiqua" w:hAnsi="Book Antiqua" w:cs="Book Antiqua"/>
      <w:color w:val="000000"/>
      <w:sz w:val="22"/>
      <w:szCs w:val="22"/>
    </w:rPr>
  </w:style>
  <w:style w:type="paragraph" w:customStyle="1" w:styleId="Pa43">
    <w:name w:val="Pa43"/>
    <w:basedOn w:val="Normal"/>
    <w:next w:val="Normal"/>
    <w:uiPriority w:val="99"/>
    <w:rsid w:val="009D699A"/>
    <w:pPr>
      <w:autoSpaceDE w:val="0"/>
      <w:autoSpaceDN w:val="0"/>
      <w:adjustRightInd w:val="0"/>
      <w:spacing w:after="0" w:line="241" w:lineRule="atLeast"/>
    </w:pPr>
    <w:rPr>
      <w:rFonts w:ascii="Verdana" w:hAnsi="Verdana"/>
      <w:sz w:val="24"/>
      <w:szCs w:val="24"/>
      <w:lang w:val="en-CA"/>
    </w:rPr>
  </w:style>
  <w:style w:type="paragraph" w:styleId="Rvision">
    <w:name w:val="Revision"/>
    <w:hidden/>
    <w:uiPriority w:val="99"/>
    <w:semiHidden/>
    <w:rsid w:val="003F4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783</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Government of Manitoba</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Cponsin</dc:creator>
  <cp:keywords/>
  <dc:description/>
  <cp:lastModifiedBy>Houle, Nathalie (MET)</cp:lastModifiedBy>
  <cp:revision>16</cp:revision>
  <cp:lastPrinted>2018-05-16T20:33:00Z</cp:lastPrinted>
  <dcterms:created xsi:type="dcterms:W3CDTF">2018-04-17T20:29:00Z</dcterms:created>
  <dcterms:modified xsi:type="dcterms:W3CDTF">2018-11-17T21:00:00Z</dcterms:modified>
</cp:coreProperties>
</file>