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CCE6" w14:textId="0373E5A5" w:rsidR="004B5067" w:rsidRPr="00A00D61" w:rsidRDefault="00EF3FB3" w:rsidP="00A00D6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color w:val="006699"/>
          <w:sz w:val="24"/>
          <w:szCs w:val="24"/>
        </w:rPr>
        <w:t>Les f</w:t>
      </w:r>
      <w:r w:rsidR="004B5067" w:rsidRPr="00A00D61">
        <w:rPr>
          <w:rFonts w:cs="Arial"/>
          <w:b/>
          <w:color w:val="006699"/>
          <w:sz w:val="24"/>
          <w:szCs w:val="24"/>
        </w:rPr>
        <w:t>ormules reliées à l’hypothèque</w:t>
      </w:r>
    </w:p>
    <w:p w14:paraId="4D582F0B" w14:textId="77777777" w:rsidR="00E63C9A" w:rsidRPr="00A00D61" w:rsidRDefault="00E63C9A" w:rsidP="00A00D61">
      <w:pPr>
        <w:spacing w:after="0" w:line="20" w:lineRule="atLeast"/>
        <w:rPr>
          <w:rFonts w:cs="Arial"/>
          <w:b/>
        </w:rPr>
      </w:pPr>
    </w:p>
    <w:p w14:paraId="7E7413CE" w14:textId="77777777" w:rsidR="004B5067" w:rsidRPr="00A00D61" w:rsidRDefault="004B5067" w:rsidP="00A00D61">
      <w:pPr>
        <w:spacing w:after="0" w:line="20" w:lineRule="atLeast"/>
        <w:rPr>
          <w:rFonts w:cs="Arial"/>
          <w:b/>
        </w:rPr>
      </w:pPr>
    </w:p>
    <w:p w14:paraId="23A45201" w14:textId="05C9901F" w:rsidR="009E383E" w:rsidRPr="00A00D61" w:rsidRDefault="009E383E" w:rsidP="003A0AD7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>Le capital</w:t>
      </w:r>
      <w:r w:rsidR="00604F52" w:rsidRPr="00A00D61">
        <w:rPr>
          <w:rFonts w:cs="Arial"/>
          <w:b/>
        </w:rPr>
        <w:t xml:space="preserve"> </w:t>
      </w:r>
      <w:r w:rsidR="00EF3FB3">
        <w:rPr>
          <w:rFonts w:cs="Arial"/>
          <w:b/>
        </w:rPr>
        <w:t>de l’hypothèque</w:t>
      </w:r>
    </w:p>
    <w:p w14:paraId="6D3DC04E" w14:textId="59C7D157" w:rsidR="00FA1A7B" w:rsidRPr="00C97345" w:rsidRDefault="00C97345" w:rsidP="003A0AD7">
      <w:pPr>
        <w:pStyle w:val="Paragraphedeliste"/>
        <w:spacing w:before="160" w:after="160" w:line="20" w:lineRule="atLeast"/>
        <w:ind w:left="0"/>
        <w:rPr>
          <w:rFonts w:eastAsiaTheme="minorEastAsia" w:cs="Arial"/>
          <w:sz w:val="8"/>
          <w:szCs w:val="8"/>
          <w:lang w:val="fr-CA"/>
        </w:rPr>
      </w:pPr>
      <w:r w:rsidRPr="00C97345">
        <w:rPr>
          <w:rFonts w:eastAsiaTheme="minorEastAsia" w:cs="Arial"/>
          <w:sz w:val="8"/>
          <w:szCs w:val="8"/>
          <w:lang w:val="fr-CA"/>
        </w:rPr>
        <w:t xml:space="preserve">          </w:t>
      </w:r>
    </w:p>
    <w:p w14:paraId="71EABC56" w14:textId="215EC18E" w:rsidR="009E383E" w:rsidRPr="00FA1A7B" w:rsidRDefault="00FA1A7B" w:rsidP="003A0AD7">
      <w:pPr>
        <w:pStyle w:val="Paragraphedeliste"/>
        <w:spacing w:before="160" w:after="160" w:line="20" w:lineRule="atLeast"/>
        <w:ind w:left="0"/>
        <w:rPr>
          <w:rFonts w:cs="Arial"/>
          <w:i/>
          <w:lang w:val="fr-C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 xml:space="preserve">le capital de l'hypothèque=le coût de l’habitation </m:t>
          </m:r>
          <m:r>
            <m:rPr>
              <m:sty m:val="p"/>
            </m:rPr>
            <w:rPr>
              <w:rFonts w:ascii="Cambria Math" w:hAnsi="Cambria Math" w:cs="Arial"/>
              <w:sz w:val="20"/>
            </w:rPr>
            <m:t>–</m:t>
          </m:r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 xml:space="preserve"> le paiement initial</m:t>
          </m:r>
          <m:r>
            <w:rPr>
              <w:rFonts w:ascii="Cambria Math" w:hAnsi="Cambria Math" w:cs="Arial"/>
              <w:sz w:val="20"/>
              <w:lang w:val="fr-CA"/>
            </w:rPr>
            <m:t xml:space="preserve"> </m:t>
          </m:r>
        </m:oMath>
      </m:oMathPara>
    </w:p>
    <w:p w14:paraId="5548367D" w14:textId="77777777" w:rsidR="009E383E" w:rsidRPr="00A00D61" w:rsidRDefault="009E383E" w:rsidP="003A0AD7">
      <w:pPr>
        <w:pStyle w:val="Paragraphedeliste"/>
        <w:spacing w:before="160" w:after="160" w:line="20" w:lineRule="atLeast"/>
        <w:ind w:left="360"/>
        <w:rPr>
          <w:rFonts w:cs="Arial"/>
          <w:lang w:val="fr-CA"/>
        </w:rPr>
      </w:pPr>
    </w:p>
    <w:p w14:paraId="3474B8FA" w14:textId="03631244" w:rsidR="009E383E" w:rsidRPr="00A00D61" w:rsidRDefault="008A1363" w:rsidP="003A0AD7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>La valeur</w:t>
      </w:r>
      <w:r w:rsidR="009E383E" w:rsidRPr="00A00D61">
        <w:rPr>
          <w:rFonts w:cs="Arial"/>
          <w:b/>
        </w:rPr>
        <w:t xml:space="preserve"> </w:t>
      </w:r>
      <w:r w:rsidR="00BC1F4D" w:rsidRPr="00A00D61">
        <w:rPr>
          <w:rFonts w:cs="Arial"/>
          <w:b/>
        </w:rPr>
        <w:t>nette</w:t>
      </w:r>
    </w:p>
    <w:p w14:paraId="33FBC663" w14:textId="77777777" w:rsidR="00C97345" w:rsidRPr="00C97345" w:rsidRDefault="00C97345" w:rsidP="00C97345">
      <w:pPr>
        <w:pStyle w:val="Paragraphedeliste"/>
        <w:spacing w:before="160" w:after="160" w:line="20" w:lineRule="atLeast"/>
        <w:ind w:left="0"/>
        <w:rPr>
          <w:rFonts w:eastAsiaTheme="minorEastAsia" w:cs="Arial"/>
          <w:sz w:val="8"/>
          <w:szCs w:val="8"/>
          <w:lang w:val="fr-CA"/>
        </w:rPr>
      </w:pPr>
      <w:r w:rsidRPr="00C97345">
        <w:rPr>
          <w:rFonts w:eastAsiaTheme="minorEastAsia" w:cs="Arial"/>
          <w:sz w:val="8"/>
          <w:szCs w:val="8"/>
          <w:lang w:val="fr-CA"/>
        </w:rPr>
        <w:t xml:space="preserve">          </w:t>
      </w:r>
    </w:p>
    <w:p w14:paraId="14F54DA9" w14:textId="32521725" w:rsidR="009E383E" w:rsidRPr="00FA1A7B" w:rsidRDefault="004B5067" w:rsidP="003A0AD7">
      <w:pPr>
        <w:spacing w:before="160" w:after="160" w:line="20" w:lineRule="atLeast"/>
        <w:ind w:right="-999"/>
        <w:rPr>
          <w:rFonts w:cs="Arial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la valeur nette=le capital de l'hypothèque – (le paiement initial + tous les paiements au capital) </m:t>
          </m:r>
        </m:oMath>
      </m:oMathPara>
    </w:p>
    <w:p w14:paraId="21B10245" w14:textId="77777777" w:rsidR="009E383E" w:rsidRPr="00A00D61" w:rsidRDefault="009E383E" w:rsidP="003A0AD7">
      <w:pPr>
        <w:pStyle w:val="Paragraphedeliste"/>
        <w:spacing w:before="160" w:after="160" w:line="20" w:lineRule="atLeast"/>
        <w:ind w:left="360"/>
        <w:rPr>
          <w:rFonts w:cs="Arial"/>
          <w:lang w:val="fr-CA"/>
        </w:rPr>
      </w:pPr>
    </w:p>
    <w:p w14:paraId="01E35278" w14:textId="1D7DB7F9" w:rsidR="009E383E" w:rsidRPr="00A00D61" w:rsidRDefault="004B5067" w:rsidP="003A0AD7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>L</w:t>
      </w:r>
      <w:r w:rsidR="008A1363" w:rsidRPr="00A00D61">
        <w:rPr>
          <w:rFonts w:cs="Arial"/>
          <w:b/>
        </w:rPr>
        <w:t>e paiement</w:t>
      </w:r>
      <w:r w:rsidR="009E383E" w:rsidRPr="00A00D61">
        <w:rPr>
          <w:rFonts w:cs="Arial"/>
          <w:b/>
        </w:rPr>
        <w:t xml:space="preserve"> mensuel</w:t>
      </w:r>
    </w:p>
    <w:p w14:paraId="4CB299FD" w14:textId="17964E2B" w:rsidR="00FA1A7B" w:rsidRPr="00C97345" w:rsidRDefault="00C97345" w:rsidP="00C97345">
      <w:pPr>
        <w:pStyle w:val="Paragraphedeliste"/>
        <w:spacing w:before="160" w:after="160" w:line="20" w:lineRule="atLeast"/>
        <w:ind w:left="0"/>
        <w:rPr>
          <w:rFonts w:eastAsiaTheme="minorEastAsia" w:cs="Arial"/>
          <w:sz w:val="8"/>
          <w:szCs w:val="8"/>
          <w:lang w:val="fr-CA"/>
        </w:rPr>
      </w:pPr>
      <w:r w:rsidRPr="00C97345">
        <w:rPr>
          <w:rFonts w:eastAsiaTheme="minorEastAsia" w:cs="Arial"/>
          <w:sz w:val="8"/>
          <w:szCs w:val="8"/>
          <w:lang w:val="fr-CA"/>
        </w:rPr>
        <w:t xml:space="preserve">          </w:t>
      </w:r>
    </w:p>
    <w:p w14:paraId="0042D892" w14:textId="1E591E98" w:rsidR="009E383E" w:rsidRPr="00FA1A7B" w:rsidRDefault="00FA1A7B" w:rsidP="003A0AD7">
      <w:pPr>
        <w:pStyle w:val="Paragraphedeliste"/>
        <w:spacing w:before="160" w:after="160" w:line="20" w:lineRule="atLeast"/>
        <w:ind w:left="0" w:right="-999"/>
        <w:rPr>
          <w:rFonts w:cs="Arial"/>
          <w:sz w:val="20"/>
          <w:lang w:val="fr-C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>le paiement mensuel=</m:t>
          </m:r>
          <m:f>
            <m:fPr>
              <m:ctrlPr>
                <w:rPr>
                  <w:rFonts w:ascii="Cambria Math" w:hAnsi="Cambria Math" w:cs="Arial"/>
                  <w:sz w:val="20"/>
                  <w:lang w:val="fr-C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lang w:val="fr-CA"/>
                </w:rPr>
                <m:t>le capital de l'hypothèque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0"/>
                  <w:lang w:val="fr-CA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>×</m:t>
          </m:r>
          <m:r>
            <m:rPr>
              <m:sty m:val="p"/>
            </m:rPr>
            <w:rPr>
              <w:rFonts w:ascii="Cambria Math" w:hAnsi="Cambria Math"/>
              <w:sz w:val="20"/>
              <w:lang w:val="fr-CA"/>
            </w:rPr>
            <m:t>montant payé par tranche de mille $</m:t>
          </m:r>
        </m:oMath>
      </m:oMathPara>
    </w:p>
    <w:p w14:paraId="4EE65648" w14:textId="3C0B2478" w:rsidR="00604F52" w:rsidRPr="00A00D61" w:rsidRDefault="00604F52" w:rsidP="003A0AD7">
      <w:pPr>
        <w:spacing w:before="160" w:after="160" w:line="20" w:lineRule="atLeast"/>
        <w:rPr>
          <w:rFonts w:cs="Arial"/>
        </w:rPr>
      </w:pPr>
    </w:p>
    <w:p w14:paraId="7588D6CA" w14:textId="2B8EA932" w:rsidR="00F04EFC" w:rsidRPr="00A00D61" w:rsidRDefault="004B5067" w:rsidP="003A0AD7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>L</w:t>
      </w:r>
      <w:r w:rsidR="009E383E" w:rsidRPr="00A00D61">
        <w:rPr>
          <w:rFonts w:cs="Arial"/>
          <w:b/>
        </w:rPr>
        <w:t xml:space="preserve">e montant </w:t>
      </w:r>
      <w:r w:rsidR="00F04EFC" w:rsidRPr="00A00D61">
        <w:rPr>
          <w:rFonts w:cs="Arial"/>
          <w:b/>
        </w:rPr>
        <w:t>d’un</w:t>
      </w:r>
      <w:r w:rsidR="008A1363" w:rsidRPr="00A00D61">
        <w:rPr>
          <w:rFonts w:cs="Arial"/>
          <w:b/>
        </w:rPr>
        <w:t xml:space="preserve"> paiement</w:t>
      </w:r>
      <w:r w:rsidR="00F04EFC" w:rsidRPr="00A00D61">
        <w:rPr>
          <w:rFonts w:cs="Arial"/>
          <w:b/>
        </w:rPr>
        <w:t xml:space="preserve"> mensuel envers l’intérêt</w:t>
      </w:r>
    </w:p>
    <w:p w14:paraId="3E7E3B40" w14:textId="77777777" w:rsidR="00C97345" w:rsidRPr="00C97345" w:rsidRDefault="00C97345" w:rsidP="00C97345">
      <w:pPr>
        <w:pStyle w:val="Paragraphedeliste"/>
        <w:spacing w:before="160" w:after="160" w:line="20" w:lineRule="atLeast"/>
        <w:ind w:left="0"/>
        <w:rPr>
          <w:rFonts w:eastAsiaTheme="minorEastAsia" w:cs="Arial"/>
          <w:sz w:val="8"/>
          <w:szCs w:val="8"/>
          <w:lang w:val="fr-CA"/>
        </w:rPr>
      </w:pPr>
      <w:r w:rsidRPr="00C97345">
        <w:rPr>
          <w:rFonts w:eastAsiaTheme="minorEastAsia" w:cs="Arial"/>
          <w:sz w:val="8"/>
          <w:szCs w:val="8"/>
          <w:lang w:val="fr-CA"/>
        </w:rPr>
        <w:t xml:space="preserve">          </w:t>
      </w:r>
    </w:p>
    <w:p w14:paraId="5F47FAA6" w14:textId="181AF508" w:rsidR="009E383E" w:rsidRPr="00A00D61" w:rsidRDefault="00FA1A7B" w:rsidP="00FA1A7B">
      <w:pPr>
        <w:spacing w:before="160" w:after="160" w:line="20" w:lineRule="atLeast"/>
        <w:ind w:right="-988"/>
        <w:jc w:val="center"/>
        <w:rPr>
          <w:rFonts w:cs="Arial"/>
          <w:i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le montant </m:t>
          </m:r>
          <m:sSup>
            <m:sSupPr>
              <m:ctrlPr>
                <w:rPr>
                  <w:rFonts w:ascii="Cambria Math" w:hAnsi="Cambria Math" w:cs="Arial"/>
                  <w:sz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d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un paiement mensuel envers l’intérêt=le paiement mensuel  – </m:t>
          </m:r>
          <m:d>
            <m:dPr>
              <m:ctrlPr>
                <w:rPr>
                  <w:rFonts w:ascii="Cambria Math" w:hAnsi="Cambria Math" w:cs="Arial"/>
                  <w:sz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solde impayé ×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</w:rPr>
                    <m:t xml:space="preserve"> taux  d'intérêt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</w:rPr>
                    <m:t>12 mois</m:t>
                  </m:r>
                </m:den>
              </m:f>
            </m:e>
          </m:d>
        </m:oMath>
      </m:oMathPara>
    </w:p>
    <w:p w14:paraId="0B5B4EE6" w14:textId="228064F6" w:rsidR="009E383E" w:rsidRPr="00A00D61" w:rsidRDefault="009E383E" w:rsidP="003A0AD7">
      <w:pPr>
        <w:spacing w:before="160" w:after="160" w:line="20" w:lineRule="atLeast"/>
        <w:rPr>
          <w:rFonts w:cs="Arial"/>
        </w:rPr>
      </w:pPr>
    </w:p>
    <w:p w14:paraId="48EE9449" w14:textId="6FA7903A" w:rsidR="00F04EFC" w:rsidRPr="00A00D61" w:rsidRDefault="000C5A1A" w:rsidP="003A0AD7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>Le</w:t>
      </w:r>
      <w:r w:rsidR="009E383E" w:rsidRPr="00A00D61">
        <w:rPr>
          <w:rFonts w:cs="Arial"/>
          <w:b/>
        </w:rPr>
        <w:t xml:space="preserve"> montant </w:t>
      </w:r>
      <w:r w:rsidR="00F04EFC" w:rsidRPr="00A00D61">
        <w:rPr>
          <w:rFonts w:cs="Arial"/>
          <w:b/>
        </w:rPr>
        <w:t xml:space="preserve">d’un </w:t>
      </w:r>
      <w:r w:rsidR="008A1363" w:rsidRPr="00A00D61">
        <w:rPr>
          <w:rFonts w:cs="Arial"/>
          <w:b/>
        </w:rPr>
        <w:t xml:space="preserve">paiement </w:t>
      </w:r>
      <w:r w:rsidR="00F04EFC" w:rsidRPr="00A00D61">
        <w:rPr>
          <w:rFonts w:cs="Arial"/>
          <w:b/>
        </w:rPr>
        <w:t>mensuel envers le capital</w:t>
      </w:r>
    </w:p>
    <w:p w14:paraId="5177D7F1" w14:textId="77777777" w:rsidR="00C97345" w:rsidRPr="00C97345" w:rsidRDefault="00C97345" w:rsidP="00C97345">
      <w:pPr>
        <w:pStyle w:val="Paragraphedeliste"/>
        <w:spacing w:before="160" w:after="160" w:line="20" w:lineRule="atLeast"/>
        <w:ind w:left="0"/>
        <w:rPr>
          <w:rFonts w:eastAsiaTheme="minorEastAsia" w:cs="Arial"/>
          <w:sz w:val="8"/>
          <w:szCs w:val="8"/>
          <w:lang w:val="fr-CA"/>
        </w:rPr>
      </w:pPr>
      <w:r w:rsidRPr="00C97345">
        <w:rPr>
          <w:rFonts w:eastAsiaTheme="minorEastAsia" w:cs="Arial"/>
          <w:sz w:val="8"/>
          <w:szCs w:val="8"/>
          <w:lang w:val="fr-CA"/>
        </w:rPr>
        <w:t xml:space="preserve">          </w:t>
      </w:r>
    </w:p>
    <w:p w14:paraId="5003120E" w14:textId="0026A65A" w:rsidR="000C5A1A" w:rsidRPr="00EF3FB3" w:rsidRDefault="00BC1F4D" w:rsidP="00EF3FB3">
      <w:pPr>
        <w:spacing w:before="160" w:after="160" w:line="20" w:lineRule="atLeast"/>
        <w:ind w:left="-142" w:right="-988" w:hanging="709"/>
        <w:rPr>
          <w:rFonts w:cs="Arial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le montant </m:t>
          </m:r>
          <m:sSup>
            <m:sSupPr>
              <m:ctrlPr>
                <w:rPr>
                  <w:rFonts w:ascii="Cambria Math" w:hAnsi="Cambria Math" w:cs="Arial"/>
                  <w:sz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d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un paiement mensuel envers le capital=le paiement mensuel  – le montant d’intérêt payé </m:t>
          </m:r>
        </m:oMath>
      </m:oMathPara>
    </w:p>
    <w:p w14:paraId="2D6E1410" w14:textId="781ABF49" w:rsidR="009E383E" w:rsidRPr="00A00D61" w:rsidRDefault="009E383E" w:rsidP="003A0AD7">
      <w:pPr>
        <w:spacing w:before="160" w:after="160" w:line="20" w:lineRule="atLeast"/>
        <w:rPr>
          <w:rFonts w:cs="Arial"/>
        </w:rPr>
      </w:pPr>
    </w:p>
    <w:p w14:paraId="7304745D" w14:textId="77777777" w:rsidR="009E383E" w:rsidRPr="00A00D61" w:rsidRDefault="000C5A1A" w:rsidP="003A0AD7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>L</w:t>
      </w:r>
      <w:r w:rsidR="009E383E" w:rsidRPr="00A00D61">
        <w:rPr>
          <w:rFonts w:cs="Arial"/>
          <w:b/>
        </w:rPr>
        <w:t xml:space="preserve">e </w:t>
      </w:r>
      <w:r w:rsidR="00A60C19" w:rsidRPr="00A00D61">
        <w:rPr>
          <w:rFonts w:cs="Arial"/>
          <w:b/>
        </w:rPr>
        <w:t xml:space="preserve">nouveau </w:t>
      </w:r>
      <w:r w:rsidR="009E383E" w:rsidRPr="00A00D61">
        <w:rPr>
          <w:rFonts w:cs="Arial"/>
          <w:b/>
        </w:rPr>
        <w:t>solde impayé</w:t>
      </w:r>
    </w:p>
    <w:p w14:paraId="1CC4F638" w14:textId="4C9A4E47" w:rsidR="00FA1A7B" w:rsidRPr="00C97345" w:rsidRDefault="00C97345" w:rsidP="00C97345">
      <w:pPr>
        <w:pStyle w:val="Paragraphedeliste"/>
        <w:spacing w:before="160" w:after="160" w:line="20" w:lineRule="atLeast"/>
        <w:ind w:left="0"/>
        <w:rPr>
          <w:rFonts w:eastAsiaTheme="minorEastAsia" w:cs="Arial"/>
          <w:sz w:val="8"/>
          <w:szCs w:val="8"/>
          <w:lang w:val="fr-CA"/>
        </w:rPr>
      </w:pPr>
      <w:r w:rsidRPr="00C97345">
        <w:rPr>
          <w:rFonts w:eastAsiaTheme="minorEastAsia" w:cs="Arial"/>
          <w:sz w:val="8"/>
          <w:szCs w:val="8"/>
          <w:lang w:val="fr-CA"/>
        </w:rPr>
        <w:t xml:space="preserve">          </w:t>
      </w:r>
    </w:p>
    <w:p w14:paraId="160ED474" w14:textId="11E86DB2" w:rsidR="009E383E" w:rsidRPr="00FA1A7B" w:rsidRDefault="00BC1F4D" w:rsidP="003A0AD7">
      <w:pPr>
        <w:spacing w:before="160" w:after="160" w:line="20" w:lineRule="atLeast"/>
        <w:rPr>
          <w:rFonts w:cs="Arial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le nouveau solde impayé=le solde impayé du mois précédent – montant payé au capital </m:t>
          </m:r>
        </m:oMath>
      </m:oMathPara>
    </w:p>
    <w:p w14:paraId="5CBD2F8B" w14:textId="6F5D7C41" w:rsidR="009E383E" w:rsidRPr="00A00D61" w:rsidRDefault="009E383E" w:rsidP="003A0AD7">
      <w:pPr>
        <w:spacing w:before="160" w:after="160" w:line="20" w:lineRule="atLeast"/>
        <w:rPr>
          <w:rFonts w:cs="Arial"/>
        </w:rPr>
      </w:pPr>
    </w:p>
    <w:p w14:paraId="04B722C9" w14:textId="7BE2EF1C" w:rsidR="009E383E" w:rsidRPr="00A00D61" w:rsidRDefault="000C5A1A" w:rsidP="003A0AD7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>L</w:t>
      </w:r>
      <w:r w:rsidR="009E383E" w:rsidRPr="00A00D61">
        <w:rPr>
          <w:rFonts w:cs="Arial"/>
          <w:b/>
        </w:rPr>
        <w:t>e montant total payé</w:t>
      </w:r>
    </w:p>
    <w:p w14:paraId="54454F34" w14:textId="7C6B5618" w:rsidR="00C97345" w:rsidRPr="00C97345" w:rsidRDefault="00C97345" w:rsidP="00C97345">
      <w:pPr>
        <w:pStyle w:val="Paragraphedeliste"/>
        <w:spacing w:before="160" w:after="160" w:line="20" w:lineRule="atLeast"/>
        <w:ind w:left="0"/>
        <w:rPr>
          <w:rFonts w:eastAsiaTheme="minorEastAsia" w:cs="Arial"/>
          <w:sz w:val="8"/>
          <w:szCs w:val="8"/>
          <w:lang w:val="fr-CA"/>
        </w:rPr>
      </w:pPr>
      <w:r w:rsidRPr="00C97345">
        <w:rPr>
          <w:rFonts w:eastAsiaTheme="minorEastAsia" w:cs="Arial"/>
          <w:sz w:val="8"/>
          <w:szCs w:val="8"/>
          <w:lang w:val="fr-CA"/>
        </w:rPr>
        <w:t xml:space="preserve">          </w:t>
      </w:r>
    </w:p>
    <w:p w14:paraId="00BE3C9C" w14:textId="4AA92292" w:rsidR="009E383E" w:rsidRPr="00FA1A7B" w:rsidRDefault="00BC1F4D" w:rsidP="003A0AD7">
      <w:pPr>
        <w:spacing w:before="160" w:after="160" w:line="20" w:lineRule="atLeast"/>
        <w:rPr>
          <w:rFonts w:cs="Arial"/>
          <w:sz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</w:rPr>
            <m:t xml:space="preserve">le montant total payé=le versement mensuel ×12 mois × durée de l'hypothèque en année </m:t>
          </m:r>
        </m:oMath>
      </m:oMathPara>
    </w:p>
    <w:p w14:paraId="1CE32E16" w14:textId="658C0066" w:rsidR="009E383E" w:rsidRPr="00A00D61" w:rsidRDefault="009E383E" w:rsidP="003A0AD7">
      <w:pPr>
        <w:spacing w:before="160" w:after="160" w:line="20" w:lineRule="atLeast"/>
        <w:rPr>
          <w:rFonts w:cs="Arial"/>
          <w:b/>
        </w:rPr>
      </w:pPr>
    </w:p>
    <w:p w14:paraId="09ABD7DE" w14:textId="401107AC" w:rsidR="009E383E" w:rsidRPr="00A00D61" w:rsidRDefault="000C5A1A" w:rsidP="003A0AD7">
      <w:pPr>
        <w:pBdr>
          <w:bottom w:val="single" w:sz="4" w:space="1" w:color="auto"/>
        </w:pBdr>
        <w:spacing w:before="160" w:after="160" w:line="20" w:lineRule="atLeast"/>
        <w:rPr>
          <w:rFonts w:cs="Arial"/>
          <w:b/>
        </w:rPr>
      </w:pPr>
      <w:r w:rsidRPr="00A00D61">
        <w:rPr>
          <w:rFonts w:cs="Arial"/>
          <w:b/>
        </w:rPr>
        <w:t>Le</w:t>
      </w:r>
      <w:r w:rsidR="00E63C9A" w:rsidRPr="00A00D61">
        <w:rPr>
          <w:rFonts w:cs="Arial"/>
          <w:b/>
        </w:rPr>
        <w:t xml:space="preserve"> montant total des</w:t>
      </w:r>
      <w:r w:rsidR="009E383E" w:rsidRPr="00A00D61">
        <w:rPr>
          <w:rFonts w:cs="Arial"/>
          <w:b/>
        </w:rPr>
        <w:t xml:space="preserve"> intérêts payés</w:t>
      </w:r>
    </w:p>
    <w:p w14:paraId="173E150A" w14:textId="00C1D618" w:rsidR="00C97345" w:rsidRPr="00C97345" w:rsidRDefault="00C97345" w:rsidP="00C97345">
      <w:pPr>
        <w:pStyle w:val="Paragraphedeliste"/>
        <w:spacing w:before="160" w:after="160" w:line="20" w:lineRule="atLeast"/>
        <w:ind w:left="0"/>
        <w:rPr>
          <w:rFonts w:eastAsiaTheme="minorEastAsia" w:cs="Arial"/>
          <w:sz w:val="8"/>
          <w:szCs w:val="8"/>
          <w:lang w:val="fr-CA"/>
        </w:rPr>
      </w:pPr>
      <w:r w:rsidRPr="00C97345">
        <w:rPr>
          <w:rFonts w:eastAsiaTheme="minorEastAsia" w:cs="Arial"/>
          <w:sz w:val="8"/>
          <w:szCs w:val="8"/>
          <w:lang w:val="fr-CA"/>
        </w:rPr>
        <w:t xml:space="preserve">          </w:t>
      </w:r>
    </w:p>
    <w:p w14:paraId="5AC16EFB" w14:textId="730E7CA7" w:rsidR="00334411" w:rsidRPr="00FA1A7B" w:rsidRDefault="00BC1F4D" w:rsidP="00FA1A7B">
      <w:pPr>
        <w:pStyle w:val="Paragraphedeliste"/>
        <w:spacing w:before="160" w:after="160" w:line="20" w:lineRule="atLeast"/>
        <w:ind w:left="-284" w:firstLine="644"/>
        <w:jc w:val="center"/>
        <w:rPr>
          <w:rFonts w:cs="Arial"/>
          <w:lang w:val="fr-C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 xml:space="preserve">le montant total des intérêts payés=le montant total payé - le capital de </m:t>
          </m:r>
          <m:sSup>
            <m:sSupPr>
              <m:ctrlPr>
                <w:rPr>
                  <w:rFonts w:ascii="Cambria Math" w:hAnsi="Cambria Math" w:cs="Arial"/>
                  <w:sz w:val="20"/>
                  <w:lang w:val="fr-C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lang w:val="fr-CA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lang w:val="fr-CA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  <w:lang w:val="fr-CA"/>
            </w:rPr>
            <m:t>hypothèque</m:t>
          </m:r>
        </m:oMath>
      </m:oMathPara>
    </w:p>
    <w:p w14:paraId="49CB75DD" w14:textId="77777777" w:rsidR="00334411" w:rsidRPr="00A00D61" w:rsidRDefault="00334411" w:rsidP="00FA1A7B">
      <w:pPr>
        <w:pStyle w:val="Paragraphedeliste"/>
        <w:spacing w:before="160" w:after="160" w:line="20" w:lineRule="atLeast"/>
        <w:ind w:left="360"/>
        <w:jc w:val="center"/>
        <w:rPr>
          <w:rFonts w:cs="Arial"/>
          <w:lang w:val="fr-CA"/>
        </w:rPr>
      </w:pPr>
    </w:p>
    <w:p w14:paraId="1D758198" w14:textId="77777777" w:rsidR="00334411" w:rsidRPr="003A0AD7" w:rsidRDefault="00334411" w:rsidP="003A0AD7">
      <w:pPr>
        <w:spacing w:after="0" w:line="240" w:lineRule="auto"/>
        <w:rPr>
          <w:rFonts w:cs="Arial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27"/>
        <w:gridCol w:w="1370"/>
        <w:gridCol w:w="1370"/>
        <w:gridCol w:w="1370"/>
        <w:gridCol w:w="1374"/>
      </w:tblGrid>
      <w:tr w:rsidR="003A0AD7" w:rsidRPr="00A00D61" w14:paraId="4CA148B1" w14:textId="77777777" w:rsidTr="003A0AD7">
        <w:trPr>
          <w:trHeight w:val="137"/>
        </w:trPr>
        <w:tc>
          <w:tcPr>
            <w:tcW w:w="8224" w:type="dxa"/>
            <w:gridSpan w:val="6"/>
            <w:vAlign w:val="center"/>
          </w:tcPr>
          <w:p w14:paraId="72E4BFDC" w14:textId="77777777" w:rsidR="003A0AD7" w:rsidRPr="00A00D61" w:rsidRDefault="003A0AD7" w:rsidP="003A0AD7">
            <w:pPr>
              <w:pStyle w:val="Pa7"/>
              <w:spacing w:before="120" w:after="120"/>
              <w:jc w:val="center"/>
              <w:rPr>
                <w:rFonts w:asciiTheme="minorHAnsi" w:hAnsiTheme="minorHAnsi" w:cs="Verdana"/>
                <w:color w:val="221E1F"/>
                <w:sz w:val="20"/>
                <w:szCs w:val="20"/>
              </w:rPr>
            </w:pPr>
            <w:r w:rsidRPr="00A00D61">
              <w:rPr>
                <w:rStyle w:val="A9"/>
                <w:rFonts w:asciiTheme="minorHAnsi" w:hAnsiTheme="minorHAnsi"/>
              </w:rPr>
              <w:lastRenderedPageBreak/>
              <w:t xml:space="preserve">Tableau </w:t>
            </w:r>
            <w:proofErr w:type="spellStart"/>
            <w:r w:rsidRPr="00A00D61">
              <w:rPr>
                <w:rStyle w:val="A9"/>
                <w:rFonts w:asciiTheme="minorHAnsi" w:hAnsiTheme="minorHAnsi"/>
              </w:rPr>
              <w:t>d’amortissement</w:t>
            </w:r>
            <w:proofErr w:type="spellEnd"/>
          </w:p>
        </w:tc>
      </w:tr>
      <w:tr w:rsidR="003A0AD7" w:rsidRPr="00A00D61" w14:paraId="42D65B3C" w14:textId="77777777" w:rsidTr="003A0AD7">
        <w:trPr>
          <w:trHeight w:val="123"/>
        </w:trPr>
        <w:tc>
          <w:tcPr>
            <w:tcW w:w="8224" w:type="dxa"/>
            <w:gridSpan w:val="6"/>
          </w:tcPr>
          <w:p w14:paraId="4604D7C4" w14:textId="24AAA260" w:rsidR="003A0AD7" w:rsidRPr="00A00D61" w:rsidRDefault="003A0AD7" w:rsidP="003A0AD7">
            <w:pPr>
              <w:pStyle w:val="Pa7"/>
              <w:spacing w:before="120" w:after="120"/>
              <w:jc w:val="center"/>
              <w:rPr>
                <w:rFonts w:asciiTheme="minorHAnsi" w:hAnsiTheme="minorHAnsi" w:cs="Verdana"/>
                <w:color w:val="221E1F"/>
                <w:sz w:val="18"/>
                <w:szCs w:val="18"/>
                <w:lang w:val="fr-CA"/>
              </w:rPr>
            </w:pPr>
            <w:r w:rsidRPr="00A00D61">
              <w:rPr>
                <w:rStyle w:val="A9"/>
                <w:rFonts w:asciiTheme="minorHAnsi" w:hAnsiTheme="minorHAnsi"/>
                <w:lang w:val="fr-CA"/>
              </w:rPr>
              <w:t>Montant payé mensuellement (capital et intérêt)</w:t>
            </w:r>
            <w:r>
              <w:rPr>
                <w:rStyle w:val="A9"/>
                <w:rFonts w:asciiTheme="minorHAnsi" w:hAnsiTheme="minorHAnsi"/>
                <w:lang w:val="fr-CA"/>
              </w:rPr>
              <w:t xml:space="preserve"> </w:t>
            </w:r>
            <w:r w:rsidRPr="00A00D61">
              <w:rPr>
                <w:rStyle w:val="A9"/>
                <w:rFonts w:asciiTheme="minorHAnsi" w:hAnsiTheme="minorHAnsi"/>
                <w:lang w:val="fr-CA"/>
              </w:rPr>
              <w:t>par tranche de 1000$ de prêt</w:t>
            </w:r>
          </w:p>
        </w:tc>
      </w:tr>
      <w:tr w:rsidR="003A0AD7" w:rsidRPr="00A00D61" w14:paraId="67DB0FAA" w14:textId="77777777" w:rsidTr="003A0AD7">
        <w:trPr>
          <w:trHeight w:val="255"/>
        </w:trPr>
        <w:tc>
          <w:tcPr>
            <w:tcW w:w="1413" w:type="dxa"/>
          </w:tcPr>
          <w:p w14:paraId="3476EF41" w14:textId="77777777" w:rsidR="003A0AD7" w:rsidRPr="00A00D61" w:rsidRDefault="003A0AD7" w:rsidP="003A0AD7">
            <w:pPr>
              <w:pStyle w:val="Pa7"/>
              <w:spacing w:before="120" w:after="120"/>
              <w:jc w:val="center"/>
              <w:rPr>
                <w:rFonts w:asciiTheme="minorHAnsi" w:hAnsiTheme="minorHAnsi" w:cs="Book Antiqua"/>
                <w:color w:val="221E1F"/>
                <w:sz w:val="20"/>
                <w:szCs w:val="20"/>
              </w:rPr>
            </w:pPr>
            <w:proofErr w:type="spellStart"/>
            <w:r w:rsidRPr="00A00D61">
              <w:rPr>
                <w:rStyle w:val="A9"/>
                <w:rFonts w:asciiTheme="minorHAnsi" w:hAnsiTheme="minorHAnsi" w:cs="Book Antiqua"/>
              </w:rPr>
              <w:t>Taux</w:t>
            </w:r>
            <w:proofErr w:type="spellEnd"/>
            <w:r w:rsidRPr="00A00D61">
              <w:rPr>
                <w:rStyle w:val="A9"/>
                <w:rFonts w:asciiTheme="minorHAnsi" w:hAnsiTheme="minorHAnsi" w:cs="Book Antiqua"/>
              </w:rPr>
              <w:t xml:space="preserve"> </w:t>
            </w:r>
            <w:proofErr w:type="spellStart"/>
            <w:r w:rsidRPr="00A00D61">
              <w:rPr>
                <w:rStyle w:val="A9"/>
                <w:rFonts w:asciiTheme="minorHAnsi" w:hAnsiTheme="minorHAnsi" w:cs="Book Antiqua"/>
              </w:rPr>
              <w:t>d’intérêt</w:t>
            </w:r>
            <w:proofErr w:type="spellEnd"/>
            <w:r w:rsidRPr="00A00D61">
              <w:rPr>
                <w:rStyle w:val="A9"/>
                <w:rFonts w:asciiTheme="minorHAnsi" w:hAnsiTheme="minorHAnsi" w:cs="Book Antiqua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14:paraId="51C55E03" w14:textId="77777777" w:rsidR="003A0AD7" w:rsidRPr="00A00D61" w:rsidRDefault="003A0AD7" w:rsidP="003A0AD7">
            <w:pPr>
              <w:pStyle w:val="Pa7"/>
              <w:spacing w:before="120" w:after="120"/>
              <w:jc w:val="center"/>
              <w:rPr>
                <w:rFonts w:asciiTheme="minorHAnsi" w:hAnsiTheme="minorHAnsi" w:cs="Book Antiqua"/>
                <w:color w:val="221E1F"/>
                <w:sz w:val="20"/>
                <w:szCs w:val="20"/>
              </w:rPr>
            </w:pPr>
            <w:r w:rsidRPr="00A00D61">
              <w:rPr>
                <w:rStyle w:val="A9"/>
                <w:rFonts w:asciiTheme="minorHAnsi" w:hAnsiTheme="minorHAnsi" w:cs="Book Antiqua"/>
              </w:rPr>
              <w:t xml:space="preserve">5 </w:t>
            </w:r>
            <w:proofErr w:type="spellStart"/>
            <w:r w:rsidRPr="00A00D61">
              <w:rPr>
                <w:rStyle w:val="A9"/>
                <w:rFonts w:asciiTheme="minorHAnsi" w:hAnsiTheme="minorHAnsi" w:cs="Book Antiqua"/>
              </w:rPr>
              <w:t>ans</w:t>
            </w:r>
            <w:proofErr w:type="spellEnd"/>
          </w:p>
        </w:tc>
        <w:tc>
          <w:tcPr>
            <w:tcW w:w="1370" w:type="dxa"/>
            <w:vAlign w:val="center"/>
          </w:tcPr>
          <w:p w14:paraId="1BB48B48" w14:textId="77777777" w:rsidR="003A0AD7" w:rsidRPr="00A00D61" w:rsidRDefault="003A0AD7" w:rsidP="003A0AD7">
            <w:pPr>
              <w:pStyle w:val="Pa7"/>
              <w:spacing w:before="120" w:after="120"/>
              <w:jc w:val="center"/>
              <w:rPr>
                <w:rFonts w:asciiTheme="minorHAnsi" w:hAnsiTheme="minorHAnsi" w:cs="Book Antiqua"/>
                <w:color w:val="221E1F"/>
                <w:sz w:val="20"/>
                <w:szCs w:val="20"/>
              </w:rPr>
            </w:pPr>
            <w:r w:rsidRPr="00A00D61">
              <w:rPr>
                <w:rStyle w:val="A9"/>
                <w:rFonts w:asciiTheme="minorHAnsi" w:hAnsiTheme="minorHAnsi" w:cs="Book Antiqua"/>
              </w:rPr>
              <w:t xml:space="preserve">10 </w:t>
            </w:r>
            <w:proofErr w:type="spellStart"/>
            <w:r w:rsidRPr="00A00D61">
              <w:rPr>
                <w:rStyle w:val="A9"/>
                <w:rFonts w:asciiTheme="minorHAnsi" w:hAnsiTheme="minorHAnsi" w:cs="Book Antiqua"/>
              </w:rPr>
              <w:t>ans</w:t>
            </w:r>
            <w:proofErr w:type="spellEnd"/>
          </w:p>
        </w:tc>
        <w:tc>
          <w:tcPr>
            <w:tcW w:w="1370" w:type="dxa"/>
            <w:vAlign w:val="center"/>
          </w:tcPr>
          <w:p w14:paraId="78501C19" w14:textId="77777777" w:rsidR="003A0AD7" w:rsidRPr="00A00D61" w:rsidRDefault="003A0AD7" w:rsidP="003A0AD7">
            <w:pPr>
              <w:pStyle w:val="Pa7"/>
              <w:spacing w:before="120" w:after="120"/>
              <w:jc w:val="center"/>
              <w:rPr>
                <w:rFonts w:asciiTheme="minorHAnsi" w:hAnsiTheme="minorHAnsi" w:cs="Book Antiqua"/>
                <w:color w:val="221E1F"/>
                <w:sz w:val="20"/>
                <w:szCs w:val="20"/>
              </w:rPr>
            </w:pPr>
            <w:r w:rsidRPr="00A00D61">
              <w:rPr>
                <w:rStyle w:val="A9"/>
                <w:rFonts w:asciiTheme="minorHAnsi" w:hAnsiTheme="minorHAnsi" w:cs="Book Antiqua"/>
              </w:rPr>
              <w:t xml:space="preserve">15 </w:t>
            </w:r>
            <w:proofErr w:type="spellStart"/>
            <w:r w:rsidRPr="00A00D61">
              <w:rPr>
                <w:rStyle w:val="A9"/>
                <w:rFonts w:asciiTheme="minorHAnsi" w:hAnsiTheme="minorHAnsi" w:cs="Book Antiqua"/>
              </w:rPr>
              <w:t>ans</w:t>
            </w:r>
            <w:proofErr w:type="spellEnd"/>
          </w:p>
        </w:tc>
        <w:tc>
          <w:tcPr>
            <w:tcW w:w="1370" w:type="dxa"/>
            <w:vAlign w:val="center"/>
          </w:tcPr>
          <w:p w14:paraId="3452EE35" w14:textId="77777777" w:rsidR="003A0AD7" w:rsidRPr="00A00D61" w:rsidRDefault="003A0AD7" w:rsidP="003A0AD7">
            <w:pPr>
              <w:pStyle w:val="Pa7"/>
              <w:spacing w:before="120" w:after="120"/>
              <w:jc w:val="center"/>
              <w:rPr>
                <w:rFonts w:asciiTheme="minorHAnsi" w:hAnsiTheme="minorHAnsi" w:cs="Book Antiqua"/>
                <w:color w:val="221E1F"/>
                <w:sz w:val="20"/>
                <w:szCs w:val="20"/>
              </w:rPr>
            </w:pPr>
            <w:r w:rsidRPr="00A00D61">
              <w:rPr>
                <w:rStyle w:val="A9"/>
                <w:rFonts w:asciiTheme="minorHAnsi" w:hAnsiTheme="minorHAnsi" w:cs="Book Antiqua"/>
              </w:rPr>
              <w:t xml:space="preserve">20 </w:t>
            </w:r>
            <w:proofErr w:type="spellStart"/>
            <w:r w:rsidRPr="00A00D61">
              <w:rPr>
                <w:rStyle w:val="A9"/>
                <w:rFonts w:asciiTheme="minorHAnsi" w:hAnsiTheme="minorHAnsi" w:cs="Book Antiqua"/>
              </w:rPr>
              <w:t>ans</w:t>
            </w:r>
            <w:proofErr w:type="spellEnd"/>
          </w:p>
        </w:tc>
        <w:tc>
          <w:tcPr>
            <w:tcW w:w="1374" w:type="dxa"/>
            <w:vAlign w:val="center"/>
          </w:tcPr>
          <w:p w14:paraId="6C893C4C" w14:textId="77777777" w:rsidR="003A0AD7" w:rsidRPr="00A00D61" w:rsidRDefault="003A0AD7" w:rsidP="003A0AD7">
            <w:pPr>
              <w:pStyle w:val="Pa7"/>
              <w:spacing w:before="120" w:after="120"/>
              <w:jc w:val="center"/>
              <w:rPr>
                <w:rFonts w:asciiTheme="minorHAnsi" w:hAnsiTheme="minorHAnsi" w:cs="Book Antiqua"/>
                <w:color w:val="221E1F"/>
                <w:sz w:val="20"/>
                <w:szCs w:val="20"/>
              </w:rPr>
            </w:pPr>
            <w:r w:rsidRPr="00A00D61">
              <w:rPr>
                <w:rStyle w:val="A9"/>
                <w:rFonts w:asciiTheme="minorHAnsi" w:hAnsiTheme="minorHAnsi" w:cs="Book Antiqua"/>
              </w:rPr>
              <w:t xml:space="preserve">25 </w:t>
            </w:r>
            <w:proofErr w:type="spellStart"/>
            <w:r w:rsidRPr="00A00D61">
              <w:rPr>
                <w:rStyle w:val="A9"/>
                <w:rFonts w:asciiTheme="minorHAnsi" w:hAnsiTheme="minorHAnsi" w:cs="Book Antiqua"/>
              </w:rPr>
              <w:t>ans</w:t>
            </w:r>
            <w:proofErr w:type="spellEnd"/>
          </w:p>
        </w:tc>
      </w:tr>
      <w:tr w:rsidR="003A0AD7" w:rsidRPr="00A00D61" w14:paraId="5E0C7D69" w14:textId="77777777" w:rsidTr="003A0AD7">
        <w:trPr>
          <w:trHeight w:val="10551"/>
        </w:trPr>
        <w:tc>
          <w:tcPr>
            <w:tcW w:w="1413" w:type="dxa"/>
            <w:vAlign w:val="center"/>
          </w:tcPr>
          <w:p w14:paraId="59F4E7DD" w14:textId="77648C82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1,50 %</w:t>
            </w:r>
          </w:p>
          <w:p w14:paraId="236FF3D6" w14:textId="676F443F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1,75 %</w:t>
            </w:r>
          </w:p>
          <w:p w14:paraId="18EA1776" w14:textId="329A09D1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2,00 %</w:t>
            </w:r>
          </w:p>
          <w:p w14:paraId="6792BE9D" w14:textId="5A77641A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2,25 %</w:t>
            </w:r>
          </w:p>
          <w:p w14:paraId="03A78872" w14:textId="314816BB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2,50 %</w:t>
            </w:r>
          </w:p>
          <w:p w14:paraId="4D2A371C" w14:textId="359CE33E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2,75 %</w:t>
            </w:r>
          </w:p>
          <w:p w14:paraId="679101C4" w14:textId="5EC69D29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3,00 %</w:t>
            </w:r>
          </w:p>
          <w:p w14:paraId="40FD98D1" w14:textId="04880D5B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3,25 %</w:t>
            </w:r>
          </w:p>
          <w:p w14:paraId="5BDC50E2" w14:textId="72751F44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3,50 %</w:t>
            </w:r>
          </w:p>
          <w:p w14:paraId="2E17C877" w14:textId="123D7149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3,75 %</w:t>
            </w:r>
          </w:p>
          <w:p w14:paraId="61725951" w14:textId="5A2FC17A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4,00 %</w:t>
            </w:r>
          </w:p>
          <w:p w14:paraId="7AD95B54" w14:textId="751E5BDB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4,25 %</w:t>
            </w:r>
          </w:p>
          <w:p w14:paraId="7F919CB9" w14:textId="28B6C809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4,50 %</w:t>
            </w:r>
          </w:p>
          <w:p w14:paraId="1036651D" w14:textId="0724D545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4,75 %</w:t>
            </w:r>
          </w:p>
          <w:p w14:paraId="11D1BF69" w14:textId="2B165CEF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5,00 %</w:t>
            </w:r>
          </w:p>
          <w:p w14:paraId="36A8E9A0" w14:textId="13F7FE64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5,25 %</w:t>
            </w:r>
          </w:p>
          <w:p w14:paraId="091767BC" w14:textId="2BE6F355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5,50 %</w:t>
            </w:r>
          </w:p>
          <w:p w14:paraId="61F34B25" w14:textId="5611D5C6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5,75 %</w:t>
            </w:r>
          </w:p>
          <w:p w14:paraId="4D96BEF4" w14:textId="0542FB3A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6,00 %</w:t>
            </w:r>
          </w:p>
          <w:p w14:paraId="2B2881CA" w14:textId="75ACA1EE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6,25 %</w:t>
            </w:r>
          </w:p>
          <w:p w14:paraId="4C07F27B" w14:textId="7ACD1AB3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6,50 %</w:t>
            </w:r>
          </w:p>
          <w:p w14:paraId="67EE3930" w14:textId="29862CF4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6,75 %</w:t>
            </w:r>
          </w:p>
          <w:p w14:paraId="3914E4D8" w14:textId="1B776416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7,00 %</w:t>
            </w:r>
          </w:p>
          <w:p w14:paraId="719BF65A" w14:textId="4E47527E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7,25 %</w:t>
            </w:r>
          </w:p>
          <w:p w14:paraId="0746CA44" w14:textId="213495F3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7,50 %</w:t>
            </w:r>
          </w:p>
          <w:p w14:paraId="41CA5803" w14:textId="79694D83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7,75 %</w:t>
            </w:r>
          </w:p>
          <w:p w14:paraId="0A9F459B" w14:textId="57CF8A4F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8,00 %</w:t>
            </w:r>
          </w:p>
          <w:p w14:paraId="1B3E0EF9" w14:textId="4FF9CBF2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8,25 %</w:t>
            </w:r>
          </w:p>
          <w:p w14:paraId="36D11AC2" w14:textId="3D11D530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8,50 %</w:t>
            </w:r>
          </w:p>
          <w:p w14:paraId="0EFC5614" w14:textId="702C56D8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8,75 %</w:t>
            </w:r>
          </w:p>
          <w:p w14:paraId="017EE954" w14:textId="700C9673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9,00 %</w:t>
            </w:r>
          </w:p>
          <w:p w14:paraId="7CC9E77F" w14:textId="2DF4AEE4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9,25 %</w:t>
            </w:r>
          </w:p>
          <w:p w14:paraId="68C2E4E0" w14:textId="1EE63713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9,50 %</w:t>
            </w:r>
          </w:p>
          <w:p w14:paraId="17D366C7" w14:textId="00DB8A01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9,75 %</w:t>
            </w:r>
          </w:p>
          <w:p w14:paraId="241AAE5F" w14:textId="014A0163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10,00 %</w:t>
            </w:r>
          </w:p>
          <w:p w14:paraId="2EA03054" w14:textId="0F23EF36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10,25 %</w:t>
            </w:r>
          </w:p>
          <w:p w14:paraId="526ADABC" w14:textId="709CAB17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10,50 %</w:t>
            </w:r>
          </w:p>
          <w:p w14:paraId="68563E6E" w14:textId="455C72F3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10,75 %</w:t>
            </w:r>
          </w:p>
          <w:p w14:paraId="4FA5DD86" w14:textId="06B2B191" w:rsidR="003A0AD7" w:rsidRPr="003A0AD7" w:rsidRDefault="003A0AD7" w:rsidP="003A0AD7">
            <w:pPr>
              <w:pStyle w:val="Pa98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11,00 %</w:t>
            </w:r>
          </w:p>
        </w:tc>
        <w:tc>
          <w:tcPr>
            <w:tcW w:w="1327" w:type="dxa"/>
            <w:vAlign w:val="center"/>
          </w:tcPr>
          <w:p w14:paraId="2930362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17,31 $</w:t>
            </w:r>
          </w:p>
          <w:p w14:paraId="399AFD5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17,42 $</w:t>
            </w:r>
          </w:p>
          <w:p w14:paraId="09F4E34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17,52 $</w:t>
            </w:r>
          </w:p>
          <w:p w14:paraId="12BF958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17,63 $</w:t>
            </w:r>
          </w:p>
          <w:p w14:paraId="5AD900A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17,74 $</w:t>
            </w:r>
          </w:p>
          <w:p w14:paraId="51FA52D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17,85 $</w:t>
            </w:r>
          </w:p>
          <w:p w14:paraId="0B48017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17,96 $</w:t>
            </w:r>
          </w:p>
          <w:p w14:paraId="646C9DB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18,07 $</w:t>
            </w:r>
          </w:p>
          <w:p w14:paraId="35EABEB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18,18 $</w:t>
            </w:r>
          </w:p>
          <w:p w14:paraId="09A3081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18,29 $</w:t>
            </w:r>
          </w:p>
          <w:p w14:paraId="4E790D4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18,40 $</w:t>
            </w:r>
          </w:p>
          <w:p w14:paraId="14FF30D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18,51 $</w:t>
            </w:r>
          </w:p>
          <w:p w14:paraId="1D02607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18,62 $</w:t>
            </w:r>
          </w:p>
          <w:p w14:paraId="7F3C327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18,74 $</w:t>
            </w:r>
          </w:p>
          <w:p w14:paraId="4369BD2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18,85 $</w:t>
            </w:r>
          </w:p>
          <w:p w14:paraId="4A8A4F9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18,96 $</w:t>
            </w:r>
          </w:p>
          <w:p w14:paraId="371D410F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19,07 $</w:t>
            </w:r>
          </w:p>
          <w:p w14:paraId="78559C0F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19,19 $</w:t>
            </w:r>
          </w:p>
          <w:p w14:paraId="0750F3D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19,30 $</w:t>
            </w:r>
          </w:p>
          <w:p w14:paraId="47A6893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19,41 $</w:t>
            </w:r>
          </w:p>
          <w:p w14:paraId="5AEBF41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19,53 $</w:t>
            </w:r>
          </w:p>
          <w:p w14:paraId="28FF73F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19,64 $</w:t>
            </w:r>
          </w:p>
          <w:p w14:paraId="6B109642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19,75 $</w:t>
            </w:r>
          </w:p>
          <w:p w14:paraId="76613F6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19,87 $</w:t>
            </w:r>
          </w:p>
          <w:p w14:paraId="0BCA8C78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19,98 $</w:t>
            </w:r>
          </w:p>
          <w:p w14:paraId="747B8BAB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20,10 $</w:t>
            </w:r>
          </w:p>
          <w:p w14:paraId="42AA022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20,21 $</w:t>
            </w:r>
          </w:p>
          <w:p w14:paraId="0F22574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20,33 $</w:t>
            </w:r>
          </w:p>
          <w:p w14:paraId="337B445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20,45 $</w:t>
            </w:r>
          </w:p>
          <w:p w14:paraId="1AF8A52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20,56 $</w:t>
            </w:r>
          </w:p>
          <w:p w14:paraId="4FE3A45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20,68 $</w:t>
            </w:r>
          </w:p>
          <w:p w14:paraId="6B23ECFA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20,80 $</w:t>
            </w:r>
          </w:p>
          <w:p w14:paraId="5C47111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20,91 $</w:t>
            </w:r>
          </w:p>
          <w:p w14:paraId="2D67199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21,03 $</w:t>
            </w:r>
          </w:p>
          <w:p w14:paraId="674D69DB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21,15 $</w:t>
            </w:r>
          </w:p>
          <w:p w14:paraId="1FE2D2A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21,27 $</w:t>
            </w:r>
          </w:p>
          <w:p w14:paraId="5BB7E6D8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21,38 $</w:t>
            </w:r>
          </w:p>
          <w:p w14:paraId="391FE3A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21,50 $</w:t>
            </w:r>
          </w:p>
          <w:p w14:paraId="176E63A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21,62 $</w:t>
            </w:r>
          </w:p>
        </w:tc>
        <w:tc>
          <w:tcPr>
            <w:tcW w:w="1370" w:type="dxa"/>
            <w:vAlign w:val="center"/>
          </w:tcPr>
          <w:p w14:paraId="00F2B90C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8,98 $</w:t>
            </w:r>
          </w:p>
          <w:p w14:paraId="7AB1A2A0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9,09 $</w:t>
            </w:r>
          </w:p>
          <w:p w14:paraId="0BB8C6D8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9,20 $</w:t>
            </w:r>
          </w:p>
          <w:p w14:paraId="4AB10F14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9,31 $</w:t>
            </w:r>
          </w:p>
          <w:p w14:paraId="059C5E77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9,42 $</w:t>
            </w:r>
          </w:p>
          <w:p w14:paraId="5AE0B9CB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9,53 $</w:t>
            </w:r>
          </w:p>
          <w:p w14:paraId="7A449448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9,65 $</w:t>
            </w:r>
          </w:p>
          <w:p w14:paraId="33F991CE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9,76 $</w:t>
            </w:r>
          </w:p>
          <w:p w14:paraId="085B6B39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9,88 $</w:t>
            </w:r>
          </w:p>
          <w:p w14:paraId="362D25F3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9,99 $</w:t>
            </w:r>
          </w:p>
          <w:p w14:paraId="7D15B69D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10,11 $</w:t>
            </w:r>
          </w:p>
          <w:p w14:paraId="450B8EFC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10,23 $</w:t>
            </w:r>
          </w:p>
          <w:p w14:paraId="67792D64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10,34 $</w:t>
            </w:r>
          </w:p>
          <w:p w14:paraId="2ECF38FC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10,46 $</w:t>
            </w:r>
          </w:p>
          <w:p w14:paraId="5EC9E55A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10,58 $</w:t>
            </w:r>
          </w:p>
          <w:p w14:paraId="02708451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10,70 $</w:t>
            </w:r>
          </w:p>
          <w:p w14:paraId="3190CA01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10,82 $</w:t>
            </w:r>
          </w:p>
          <w:p w14:paraId="1AA25326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10,94 $</w:t>
            </w:r>
          </w:p>
          <w:p w14:paraId="605C878F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11,07 $</w:t>
            </w:r>
          </w:p>
          <w:p w14:paraId="58C95FF9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11,19 $</w:t>
            </w:r>
          </w:p>
          <w:p w14:paraId="4073CA4B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11,31 $</w:t>
            </w:r>
          </w:p>
          <w:p w14:paraId="35247C3C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11,43 $</w:t>
            </w:r>
          </w:p>
          <w:p w14:paraId="53BECD3B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11,56 $</w:t>
            </w:r>
          </w:p>
          <w:p w14:paraId="59D43C8E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11,68 $</w:t>
            </w:r>
          </w:p>
          <w:p w14:paraId="3E23F18C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11,81 $</w:t>
            </w:r>
          </w:p>
          <w:p w14:paraId="03F65929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11,94 $</w:t>
            </w:r>
          </w:p>
          <w:p w14:paraId="1CC73072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12,06 $</w:t>
            </w:r>
          </w:p>
          <w:p w14:paraId="209A41E2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12,19 $</w:t>
            </w:r>
          </w:p>
          <w:p w14:paraId="58DE44FB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12,32 $</w:t>
            </w:r>
          </w:p>
          <w:p w14:paraId="62092EC4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12,45 $</w:t>
            </w:r>
          </w:p>
          <w:p w14:paraId="15541063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12,58 $</w:t>
            </w:r>
          </w:p>
          <w:p w14:paraId="5505711E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12,71 $</w:t>
            </w:r>
          </w:p>
          <w:p w14:paraId="4CD16CDB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12,84 $</w:t>
            </w:r>
          </w:p>
          <w:p w14:paraId="1949E90C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12,97 $</w:t>
            </w:r>
          </w:p>
          <w:p w14:paraId="437E42E2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13,10 $</w:t>
            </w:r>
          </w:p>
          <w:p w14:paraId="5DD8A38E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13,24 $</w:t>
            </w:r>
          </w:p>
          <w:p w14:paraId="5B07550D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13,37 $</w:t>
            </w:r>
          </w:p>
          <w:p w14:paraId="4356C517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13,50 $</w:t>
            </w:r>
          </w:p>
          <w:p w14:paraId="72D3D660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13,64 $</w:t>
            </w:r>
          </w:p>
        </w:tc>
        <w:tc>
          <w:tcPr>
            <w:tcW w:w="1370" w:type="dxa"/>
            <w:vAlign w:val="center"/>
          </w:tcPr>
          <w:p w14:paraId="43D4049B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6,21 $</w:t>
            </w:r>
          </w:p>
          <w:p w14:paraId="37C17F28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6,32 $</w:t>
            </w:r>
          </w:p>
          <w:p w14:paraId="1537FB0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6,43 $</w:t>
            </w:r>
          </w:p>
          <w:p w14:paraId="1FA4DDD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6,55 $</w:t>
            </w:r>
          </w:p>
          <w:p w14:paraId="12DEFC0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6,66 $</w:t>
            </w:r>
          </w:p>
          <w:p w14:paraId="0F76CB72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6,78 $</w:t>
            </w:r>
          </w:p>
          <w:p w14:paraId="5B678B6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6,90 $</w:t>
            </w:r>
          </w:p>
          <w:p w14:paraId="2E5C216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7,02 $</w:t>
            </w:r>
          </w:p>
          <w:p w14:paraId="1F7B03C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7,14 $</w:t>
            </w:r>
          </w:p>
          <w:p w14:paraId="4D4BBC9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7,26 $</w:t>
            </w:r>
          </w:p>
          <w:p w14:paraId="6D8E862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7,38 $</w:t>
            </w:r>
          </w:p>
          <w:p w14:paraId="0FBE7BB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7,50 $</w:t>
            </w:r>
          </w:p>
          <w:p w14:paraId="199BD4D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7,63 $</w:t>
            </w:r>
          </w:p>
          <w:p w14:paraId="0A414E5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7,75 $</w:t>
            </w:r>
          </w:p>
          <w:p w14:paraId="0668353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7,88 $</w:t>
            </w:r>
          </w:p>
          <w:p w14:paraId="66CDE98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8,01 $</w:t>
            </w:r>
          </w:p>
          <w:p w14:paraId="0485A20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8,14 $</w:t>
            </w:r>
          </w:p>
          <w:p w14:paraId="15A5142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8,27 $</w:t>
            </w:r>
          </w:p>
          <w:p w14:paraId="7901CA9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8,40 $</w:t>
            </w:r>
          </w:p>
          <w:p w14:paraId="54C6012F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8,53 $</w:t>
            </w:r>
          </w:p>
          <w:p w14:paraId="4B284B8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8,66 $</w:t>
            </w:r>
          </w:p>
          <w:p w14:paraId="63E56F2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8,80 $</w:t>
            </w:r>
          </w:p>
          <w:p w14:paraId="73E5019A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8,93 $</w:t>
            </w:r>
          </w:p>
          <w:p w14:paraId="337B6F2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9,07 $</w:t>
            </w:r>
          </w:p>
          <w:p w14:paraId="2162F3F8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9,21 $</w:t>
            </w:r>
          </w:p>
          <w:p w14:paraId="6C3646A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9,34 $</w:t>
            </w:r>
          </w:p>
          <w:p w14:paraId="7941ABD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9,48 $</w:t>
            </w:r>
          </w:p>
          <w:p w14:paraId="676B41D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9,62 $</w:t>
            </w:r>
          </w:p>
          <w:p w14:paraId="18C96EA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9,76 $</w:t>
            </w:r>
          </w:p>
          <w:p w14:paraId="02A6FA8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9,90 $</w:t>
            </w:r>
          </w:p>
          <w:p w14:paraId="5AE6ACB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10,05 $</w:t>
            </w:r>
          </w:p>
          <w:p w14:paraId="5E7BE85B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10,19 $</w:t>
            </w:r>
          </w:p>
          <w:p w14:paraId="528DC4A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10,33 $</w:t>
            </w:r>
          </w:p>
          <w:p w14:paraId="23BEDD9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10,48 $</w:t>
            </w:r>
          </w:p>
          <w:p w14:paraId="6C48B5C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10,62 $</w:t>
            </w:r>
          </w:p>
          <w:p w14:paraId="3C72D37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10,77 $</w:t>
            </w:r>
          </w:p>
          <w:p w14:paraId="1C28127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10,92 $</w:t>
            </w:r>
          </w:p>
          <w:p w14:paraId="48583D1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11,06 $</w:t>
            </w:r>
          </w:p>
          <w:p w14:paraId="7C2C4C2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11,21 $</w:t>
            </w:r>
          </w:p>
        </w:tc>
        <w:tc>
          <w:tcPr>
            <w:tcW w:w="1370" w:type="dxa"/>
            <w:vAlign w:val="center"/>
          </w:tcPr>
          <w:p w14:paraId="4A7197B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4,82 $</w:t>
            </w:r>
          </w:p>
          <w:p w14:paraId="02D5CF3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4,94 $</w:t>
            </w:r>
          </w:p>
          <w:p w14:paraId="5F7AA63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5,05 $</w:t>
            </w:r>
          </w:p>
          <w:p w14:paraId="7F46E81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5,17 $</w:t>
            </w:r>
          </w:p>
          <w:p w14:paraId="5E42AAF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5,29 $</w:t>
            </w:r>
          </w:p>
          <w:p w14:paraId="3EA5EC9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5,41 $</w:t>
            </w:r>
          </w:p>
          <w:p w14:paraId="7E7270C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5,54 $</w:t>
            </w:r>
          </w:p>
          <w:p w14:paraId="075CD81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5,66 $</w:t>
            </w:r>
          </w:p>
          <w:p w14:paraId="0FDB79F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5,79 $</w:t>
            </w:r>
          </w:p>
          <w:p w14:paraId="71E30A1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5,91 $</w:t>
            </w:r>
          </w:p>
          <w:p w14:paraId="2E06FCE2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6,04 $</w:t>
            </w:r>
          </w:p>
          <w:p w14:paraId="5D202C9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6,17 $</w:t>
            </w:r>
          </w:p>
          <w:p w14:paraId="365A6E9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6,30 $</w:t>
            </w:r>
          </w:p>
          <w:p w14:paraId="4650C43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6,44 $</w:t>
            </w:r>
          </w:p>
          <w:p w14:paraId="2384180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6,57 $</w:t>
            </w:r>
          </w:p>
          <w:p w14:paraId="1D9B425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6,71 $</w:t>
            </w:r>
          </w:p>
          <w:p w14:paraId="684C4C4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6,84 $</w:t>
            </w:r>
          </w:p>
          <w:p w14:paraId="52184A9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6,98 $</w:t>
            </w:r>
          </w:p>
          <w:p w14:paraId="08F25F2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7,12 $</w:t>
            </w:r>
          </w:p>
          <w:p w14:paraId="5539C61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7,26 $</w:t>
            </w:r>
          </w:p>
          <w:p w14:paraId="2470650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7,41 $</w:t>
            </w:r>
          </w:p>
          <w:p w14:paraId="06E071C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7,55 $</w:t>
            </w:r>
          </w:p>
          <w:p w14:paraId="6B795D3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7,70 $</w:t>
            </w:r>
          </w:p>
          <w:p w14:paraId="29F91DB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7,84 $</w:t>
            </w:r>
          </w:p>
          <w:p w14:paraId="54F57AC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7,99 $</w:t>
            </w:r>
          </w:p>
          <w:p w14:paraId="6874E05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8,13 $</w:t>
            </w:r>
          </w:p>
          <w:p w14:paraId="66CF499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8,28 $</w:t>
            </w:r>
          </w:p>
          <w:p w14:paraId="3946F37B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8,43 $</w:t>
            </w:r>
          </w:p>
          <w:p w14:paraId="71F7966A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8,59 $</w:t>
            </w:r>
          </w:p>
          <w:p w14:paraId="42524D7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8,74 $</w:t>
            </w:r>
          </w:p>
          <w:p w14:paraId="6A72392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8,89 $</w:t>
            </w:r>
          </w:p>
          <w:p w14:paraId="3B084B9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9,05 $</w:t>
            </w:r>
          </w:p>
          <w:p w14:paraId="48499ED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9,20 $</w:t>
            </w:r>
          </w:p>
          <w:p w14:paraId="4B5EE7DB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9,36 $</w:t>
            </w:r>
          </w:p>
          <w:p w14:paraId="12F1A948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9,52 $</w:t>
            </w:r>
          </w:p>
          <w:p w14:paraId="5BF7F82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9,68 $</w:t>
            </w:r>
          </w:p>
          <w:p w14:paraId="52F72D68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9,84 $</w:t>
            </w:r>
          </w:p>
          <w:p w14:paraId="6F95CEB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9,99 $</w:t>
            </w:r>
          </w:p>
          <w:p w14:paraId="612722F5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10,16 $</w:t>
            </w:r>
          </w:p>
        </w:tc>
        <w:tc>
          <w:tcPr>
            <w:tcW w:w="1374" w:type="dxa"/>
            <w:vAlign w:val="center"/>
          </w:tcPr>
          <w:p w14:paraId="3574F5EF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4,00 $</w:t>
            </w:r>
          </w:p>
          <w:p w14:paraId="630B9F00" w14:textId="77777777" w:rsidR="003A0AD7" w:rsidRPr="003A0AD7" w:rsidRDefault="003A0AD7" w:rsidP="003A0AD7">
            <w:pPr>
              <w:pStyle w:val="Pa100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4,11 $</w:t>
            </w:r>
          </w:p>
          <w:p w14:paraId="4FDFA04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4,23 $</w:t>
            </w:r>
          </w:p>
          <w:p w14:paraId="5114EFD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4,36 $</w:t>
            </w:r>
          </w:p>
          <w:p w14:paraId="2B4173A8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4,48 $</w:t>
            </w:r>
          </w:p>
          <w:p w14:paraId="08FEAD2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4,61 $</w:t>
            </w:r>
          </w:p>
          <w:p w14:paraId="2D448E3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4,73 $</w:t>
            </w:r>
          </w:p>
          <w:p w14:paraId="3A1011BF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4,86 $</w:t>
            </w:r>
          </w:p>
          <w:p w14:paraId="1585905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4,99 $</w:t>
            </w:r>
          </w:p>
          <w:p w14:paraId="3FFF768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5,13 $</w:t>
            </w:r>
          </w:p>
          <w:p w14:paraId="46721A5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5,26 $</w:t>
            </w:r>
          </w:p>
          <w:p w14:paraId="22694F8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5,40 $</w:t>
            </w:r>
          </w:p>
          <w:p w14:paraId="3D1CB24E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5,53 $</w:t>
            </w:r>
          </w:p>
          <w:p w14:paraId="10F1200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5,67 $</w:t>
            </w:r>
          </w:p>
          <w:p w14:paraId="0D6636D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5,82 $</w:t>
            </w:r>
          </w:p>
          <w:p w14:paraId="2551789F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5,96 $</w:t>
            </w:r>
          </w:p>
          <w:p w14:paraId="418D21EF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6,10 $</w:t>
            </w:r>
          </w:p>
          <w:p w14:paraId="5E5BB42D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6,25 $</w:t>
            </w:r>
          </w:p>
          <w:p w14:paraId="7F1C00D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6,40 $</w:t>
            </w:r>
          </w:p>
          <w:p w14:paraId="7058C717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6,55 $</w:t>
            </w:r>
          </w:p>
          <w:p w14:paraId="18DAA3C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6,70 $</w:t>
            </w:r>
          </w:p>
          <w:p w14:paraId="16CA1530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6,85 $</w:t>
            </w:r>
          </w:p>
          <w:p w14:paraId="619B8AA2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7,00 $</w:t>
            </w:r>
          </w:p>
          <w:p w14:paraId="27224B8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7,16 $</w:t>
            </w:r>
          </w:p>
          <w:p w14:paraId="69B882B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7,32 $</w:t>
            </w:r>
          </w:p>
          <w:p w14:paraId="667B65F1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7,47 $</w:t>
            </w:r>
          </w:p>
          <w:p w14:paraId="2702C8FC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7,63 $</w:t>
            </w:r>
          </w:p>
          <w:p w14:paraId="30E53DBF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7,79 $</w:t>
            </w:r>
          </w:p>
          <w:p w14:paraId="657E85D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7,95 $</w:t>
            </w:r>
          </w:p>
          <w:p w14:paraId="41E0EDC2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8,12 $</w:t>
            </w:r>
          </w:p>
          <w:p w14:paraId="6D0DF9D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8,28 $</w:t>
            </w:r>
          </w:p>
          <w:p w14:paraId="4C36F9E2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8,44 $</w:t>
            </w:r>
          </w:p>
          <w:p w14:paraId="741D3D46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8,61 $</w:t>
            </w:r>
          </w:p>
          <w:p w14:paraId="20C48F08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8,78 $</w:t>
            </w:r>
          </w:p>
          <w:p w14:paraId="2FAFEF4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8,94 $</w:t>
            </w:r>
          </w:p>
          <w:p w14:paraId="0B7AB08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9.11 $</w:t>
            </w:r>
          </w:p>
          <w:p w14:paraId="7CD25CE4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9,28 $</w:t>
            </w:r>
          </w:p>
          <w:p w14:paraId="2D4285B9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9,45 $</w:t>
            </w:r>
          </w:p>
          <w:p w14:paraId="6C10DD73" w14:textId="77777777" w:rsidR="003A0AD7" w:rsidRPr="003A0AD7" w:rsidRDefault="003A0AD7" w:rsidP="003A0AD7">
            <w:pPr>
              <w:pStyle w:val="Pa99"/>
              <w:spacing w:beforeLines="20" w:before="48" w:line="20" w:lineRule="atLeast"/>
              <w:jc w:val="center"/>
              <w:rPr>
                <w:rFonts w:asciiTheme="minorHAnsi" w:hAnsiTheme="minorHAnsi" w:cs="Book Antiqua"/>
                <w:color w:val="221E1F"/>
                <w:sz w:val="18"/>
                <w:szCs w:val="18"/>
              </w:rPr>
            </w:pPr>
            <w:r w:rsidRPr="003A0AD7">
              <w:rPr>
                <w:rStyle w:val="A13"/>
                <w:rFonts w:asciiTheme="minorHAnsi" w:hAnsiTheme="minorHAnsi"/>
                <w:sz w:val="18"/>
                <w:szCs w:val="18"/>
              </w:rPr>
              <w:t>9,63 $</w:t>
            </w:r>
          </w:p>
        </w:tc>
      </w:tr>
    </w:tbl>
    <w:p w14:paraId="0D6EF25C" w14:textId="745473C8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66EAC0FB" w14:textId="56FA4ACD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5B1490B5" w14:textId="3F0061B8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0CB1B440" w14:textId="185CBE04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38F24CDC" w14:textId="427B709C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149BDE9A" w14:textId="3AB769D3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2963A01E" w14:textId="6E0257EB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6AF3B4F9" w14:textId="2272B629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25C3068F" w14:textId="45DF5040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231678D9" w14:textId="3026EF41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60B562F5" w14:textId="29A242BF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50E768E3" w14:textId="58AF9B97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63F0C280" w14:textId="26628FC1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2E319E21" w14:textId="408C289D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5BFED398" w14:textId="5A084FC6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0BE94BCE" w14:textId="100DCE65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7CB3A0C6" w14:textId="122BD2F4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36489A68" w14:textId="1A58515D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49361E7F" w14:textId="3C3CD371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04885FB6" w14:textId="7ECC6B6E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03426283" w14:textId="24C9DF55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6F898C01" w14:textId="0ACD0830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76BFDCCC" w14:textId="39866343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739AE391" w14:textId="181936E7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1A5BEDE6" w14:textId="53C249F3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5F9BCE5C" w14:textId="77488C84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35438FC7" w14:textId="7BEF8774" w:rsidR="000C6080" w:rsidRPr="00A00D61" w:rsidRDefault="000C6080" w:rsidP="000C6080">
      <w:pPr>
        <w:rPr>
          <w:rFonts w:cs="Verdana"/>
          <w:color w:val="221E1F"/>
          <w:sz w:val="14"/>
          <w:szCs w:val="14"/>
        </w:rPr>
      </w:pPr>
    </w:p>
    <w:p w14:paraId="2F2C55E4" w14:textId="7E6B4C05" w:rsidR="000C6080" w:rsidRDefault="000C6080" w:rsidP="000C6080">
      <w:pPr>
        <w:rPr>
          <w:rFonts w:cs="Verdana"/>
          <w:color w:val="221E1F"/>
          <w:sz w:val="18"/>
          <w:szCs w:val="14"/>
        </w:rPr>
      </w:pPr>
    </w:p>
    <w:p w14:paraId="75504D8E" w14:textId="3D2BA9DF" w:rsidR="003A0AD7" w:rsidRDefault="003A0AD7" w:rsidP="000C6080">
      <w:pPr>
        <w:rPr>
          <w:rFonts w:cs="Verdana"/>
          <w:color w:val="221E1F"/>
          <w:sz w:val="18"/>
          <w:szCs w:val="14"/>
        </w:rPr>
      </w:pPr>
    </w:p>
    <w:p w14:paraId="4F20B697" w14:textId="3553A6C9" w:rsidR="003A0AD7" w:rsidRDefault="003A0AD7" w:rsidP="000C6080">
      <w:pPr>
        <w:rPr>
          <w:rFonts w:cs="Verdana"/>
          <w:color w:val="221E1F"/>
          <w:sz w:val="18"/>
          <w:szCs w:val="14"/>
        </w:rPr>
      </w:pPr>
    </w:p>
    <w:p w14:paraId="65323F5D" w14:textId="77777777" w:rsidR="003A0AD7" w:rsidRPr="003A0AD7" w:rsidRDefault="003A0AD7" w:rsidP="000C6080">
      <w:pPr>
        <w:rPr>
          <w:rFonts w:cs="Verdana"/>
          <w:color w:val="221E1F"/>
          <w:sz w:val="18"/>
          <w:szCs w:val="14"/>
        </w:rPr>
      </w:pPr>
    </w:p>
    <w:p w14:paraId="56DF5157" w14:textId="2C825D11" w:rsidR="00863BA5" w:rsidRPr="00A00D61" w:rsidRDefault="000C6080" w:rsidP="003A0AD7">
      <w:r w:rsidRPr="003A0AD7">
        <w:rPr>
          <w:rFonts w:cs="Verdana"/>
          <w:color w:val="221E1F"/>
          <w:sz w:val="18"/>
          <w:szCs w:val="14"/>
        </w:rPr>
        <w:t>*Les intérêts sont composés semestriellement. Le montant du paiement mensuel peut varier légèrement.</w:t>
      </w:r>
    </w:p>
    <w:sectPr w:rsidR="00863BA5" w:rsidRPr="00A00D61" w:rsidSect="00295F53">
      <w:headerReference w:type="default" r:id="rId7"/>
      <w:footerReference w:type="default" r:id="rId8"/>
      <w:pgSz w:w="12240" w:h="15840"/>
      <w:pgMar w:top="1271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06B5" w14:textId="3AC05F7B" w:rsidR="00A00D61" w:rsidRDefault="00A00D61" w:rsidP="00A00D61">
    <w:pPr>
      <w:pStyle w:val="Pieddepage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EB76B2" wp14:editId="1C355751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A6756" w14:textId="773BF2BF" w:rsidR="00A00D61" w:rsidRPr="000C732C" w:rsidRDefault="00A00D61" w:rsidP="00A00D61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G</w:t>
                          </w:r>
                          <w:r w:rsidRPr="000C732C">
                            <w:rPr>
                              <w:sz w:val="20"/>
                            </w:rPr>
                            <w:t>, Les finances immobilières,</w:t>
                          </w:r>
                          <w:r w:rsidR="00D63A40">
                            <w:rPr>
                              <w:sz w:val="20"/>
                            </w:rPr>
                            <w:t xml:space="preserve">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7CAB4BE5" w14:textId="77777777" w:rsidR="00A00D61" w:rsidRPr="000C732C" w:rsidRDefault="00A00D61" w:rsidP="00A00D61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B76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748A6756" w14:textId="773BF2BF" w:rsidR="00A00D61" w:rsidRPr="000C732C" w:rsidRDefault="00A00D61" w:rsidP="00A00D61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G</w:t>
                    </w:r>
                    <w:r w:rsidRPr="000C732C">
                      <w:rPr>
                        <w:sz w:val="20"/>
                      </w:rPr>
                      <w:t>, Les finances immobilières,</w:t>
                    </w:r>
                    <w:r w:rsidR="00D63A40">
                      <w:rPr>
                        <w:sz w:val="20"/>
                      </w:rPr>
                      <w:t xml:space="preserve">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7CAB4BE5" w14:textId="77777777" w:rsidR="00A00D61" w:rsidRPr="000C732C" w:rsidRDefault="00A00D61" w:rsidP="00A00D61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63914C" wp14:editId="17C9E668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7D9CD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D63A40">
          <w:rPr>
            <w:noProof/>
            <w:sz w:val="20"/>
          </w:rPr>
          <w:t>2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006F60EE" w:rsidR="00295F53" w:rsidRP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583DDEA5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0C6080">
                            <w:rPr>
                              <w:color w:val="FFFFFF" w:themeColor="background1"/>
                              <w:sz w:val="28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583DDEA5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0C6080">
                      <w:rPr>
                        <w:color w:val="FFFFFF" w:themeColor="background1"/>
                        <w:sz w:val="28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17233B">
      <w:t>L’hypothèque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C5A1A"/>
    <w:rsid w:val="000C6080"/>
    <w:rsid w:val="00103F5D"/>
    <w:rsid w:val="00137B51"/>
    <w:rsid w:val="0017233B"/>
    <w:rsid w:val="001B0DFE"/>
    <w:rsid w:val="0023221B"/>
    <w:rsid w:val="00295F53"/>
    <w:rsid w:val="00334411"/>
    <w:rsid w:val="003A0AD7"/>
    <w:rsid w:val="0046669B"/>
    <w:rsid w:val="004737A6"/>
    <w:rsid w:val="004B5067"/>
    <w:rsid w:val="00514841"/>
    <w:rsid w:val="005D7D0D"/>
    <w:rsid w:val="00604F52"/>
    <w:rsid w:val="006127C3"/>
    <w:rsid w:val="00863BA5"/>
    <w:rsid w:val="008A1363"/>
    <w:rsid w:val="0099232A"/>
    <w:rsid w:val="009E383E"/>
    <w:rsid w:val="00A00D61"/>
    <w:rsid w:val="00A60C19"/>
    <w:rsid w:val="00B763CA"/>
    <w:rsid w:val="00BB2DCD"/>
    <w:rsid w:val="00BC1F4D"/>
    <w:rsid w:val="00C30DEF"/>
    <w:rsid w:val="00C97345"/>
    <w:rsid w:val="00D63A40"/>
    <w:rsid w:val="00E5634A"/>
    <w:rsid w:val="00E63C9A"/>
    <w:rsid w:val="00EF04D8"/>
    <w:rsid w:val="00EF3FB3"/>
    <w:rsid w:val="00F04EFC"/>
    <w:rsid w:val="00F5237F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0C608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US"/>
    </w:rPr>
  </w:style>
  <w:style w:type="character" w:customStyle="1" w:styleId="A9">
    <w:name w:val="A9"/>
    <w:uiPriority w:val="99"/>
    <w:rsid w:val="000C6080"/>
    <w:rPr>
      <w:rFonts w:cs="Verdana"/>
      <w:b/>
      <w:bCs/>
      <w:color w:val="221E1F"/>
      <w:sz w:val="20"/>
      <w:szCs w:val="20"/>
    </w:rPr>
  </w:style>
  <w:style w:type="paragraph" w:customStyle="1" w:styleId="Pa98">
    <w:name w:val="Pa98"/>
    <w:basedOn w:val="Normal"/>
    <w:next w:val="Normal"/>
    <w:uiPriority w:val="99"/>
    <w:rsid w:val="000C608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US"/>
    </w:rPr>
  </w:style>
  <w:style w:type="character" w:customStyle="1" w:styleId="A13">
    <w:name w:val="A13"/>
    <w:uiPriority w:val="99"/>
    <w:rsid w:val="000C6080"/>
    <w:rPr>
      <w:rFonts w:ascii="Book Antiqua" w:hAnsi="Book Antiqua" w:cs="Book Antiqua"/>
      <w:color w:val="221E1F"/>
      <w:sz w:val="16"/>
      <w:szCs w:val="16"/>
    </w:rPr>
  </w:style>
  <w:style w:type="paragraph" w:customStyle="1" w:styleId="Pa99">
    <w:name w:val="Pa99"/>
    <w:basedOn w:val="Normal"/>
    <w:next w:val="Normal"/>
    <w:uiPriority w:val="99"/>
    <w:rsid w:val="000C608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US"/>
    </w:rPr>
  </w:style>
  <w:style w:type="paragraph" w:customStyle="1" w:styleId="Pa100">
    <w:name w:val="Pa100"/>
    <w:basedOn w:val="Normal"/>
    <w:next w:val="Normal"/>
    <w:uiPriority w:val="99"/>
    <w:rsid w:val="000C608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13</cp:revision>
  <cp:lastPrinted>2018-05-25T14:46:00Z</cp:lastPrinted>
  <dcterms:created xsi:type="dcterms:W3CDTF">2018-03-16T17:53:00Z</dcterms:created>
  <dcterms:modified xsi:type="dcterms:W3CDTF">2018-11-17T20:58:00Z</dcterms:modified>
</cp:coreProperties>
</file>