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EF019B">
        <w:rPr>
          <w:rStyle w:val="Emphasis"/>
          <w:i w:val="0"/>
          <w:color w:val="1F497D" w:themeColor="text2"/>
          <w:sz w:val="28"/>
          <w:szCs w:val="28"/>
          <w:lang w:val="fr-CA"/>
        </w:rPr>
        <w:t>6</w:t>
      </w:r>
      <w:r w:rsidR="00866D15" w:rsidRPr="00866D15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e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2334AD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essources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pédagogiques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51D18">
        <w:rPr>
          <w:rStyle w:val="Emphasis"/>
          <w:i w:val="0"/>
          <w:color w:val="1F497D" w:themeColor="text2"/>
          <w:sz w:val="28"/>
          <w:szCs w:val="28"/>
          <w:lang w:val="fr-CA"/>
        </w:rPr>
        <w:t>pour un mode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de vie sain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4D7B77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8012F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2334AD" w:rsidP="00EE4454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EE4454">
              <w:rPr>
                <w:lang w:val="fr-FR"/>
              </w:rPr>
              <w:t>est</w:t>
            </w:r>
            <w:r>
              <w:rPr>
                <w:lang w:val="fr-FR"/>
              </w:rPr>
              <w:t xml:space="preserve"> un instrument pour appuyer l’enseignement d’</w:t>
            </w:r>
            <w:hyperlink r:id="rId6" w:history="1"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de la maternelle à la 12</w:t>
              </w:r>
              <w:r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 : Programme d’études : Cadre manitobain des résultats d’apprentissage pour un mode de vie actif et sain</w:t>
              </w:r>
            </w:hyperlink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6</w:t>
            </w:r>
            <w:r w:rsidRPr="000A345A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Pr="006556DF">
                <w:rPr>
                  <w:rStyle w:val="Hyperlink"/>
                  <w:i/>
                  <w:lang w:val="fr-FR"/>
                </w:rPr>
                <w:t xml:space="preserve">Document de mise en œuvre </w:t>
              </w:r>
              <w:r>
                <w:rPr>
                  <w:rStyle w:val="Hyperlink"/>
                  <w:i/>
                  <w:lang w:val="fr-FR"/>
                </w:rPr>
                <w:t>d’</w:t>
              </w:r>
              <w:r w:rsidRPr="006556DF">
                <w:rPr>
                  <w:rStyle w:val="Hyperlink"/>
                  <w:i/>
                  <w:lang w:val="fr-FR"/>
                </w:rPr>
                <w:t>ÉP-ÉS</w:t>
              </w:r>
              <w:r>
                <w:rPr>
                  <w:rStyle w:val="Hyperlink"/>
                  <w:i/>
                  <w:lang w:val="fr-FR"/>
                </w:rPr>
                <w:t>, 6</w:t>
              </w:r>
              <w:r w:rsidRPr="004452E0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année</w:t>
              </w:r>
            </w:hyperlink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8012F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F5324D" w:rsidRDefault="00F5324D" w:rsidP="00A67F74">
            <w:pPr>
              <w:rPr>
                <w:i/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 xml:space="preserve">Recours à la planification, à la prise de décisions et à la résolution de problèmes concernant la santé et le </w:t>
            </w:r>
            <w:r w:rsidR="00EE4454">
              <w:rPr>
                <w:rFonts w:ascii="Calibri" w:eastAsia="Calibri" w:hAnsi="Calibri" w:cs="Times New Roman"/>
                <w:i/>
                <w:lang w:val="fr-CA" w:bidi="fr-CA"/>
              </w:rPr>
              <w:t xml:space="preserve">     </w:t>
            </w: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8012F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F5324D" w:rsidRDefault="00651D18" w:rsidP="00651D18">
            <w:pPr>
              <w:rPr>
                <w:rFonts w:eastAsia="Times New Roman"/>
                <w:b/>
                <w:sz w:val="20"/>
                <w:szCs w:val="20"/>
                <w:lang w:val="fr-CA"/>
              </w:rPr>
            </w:pPr>
            <w:r w:rsidRPr="00F5324D">
              <w:rPr>
                <w:b/>
                <w:sz w:val="20"/>
                <w:szCs w:val="20"/>
                <w:lang w:val="fr-CA"/>
              </w:rPr>
              <w:t>Sécurité personnelle et des autres</w:t>
            </w:r>
          </w:p>
          <w:p w:rsidR="000B2CB7" w:rsidRPr="00F5324D" w:rsidRDefault="00F5324D" w:rsidP="00F5324D">
            <w:pPr>
              <w:rPr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>Compréhension des préoccupations concernant la sécurité dans les activités de la vie quotidienne et des mesures de soutien offertes</w:t>
            </w:r>
            <w:r w:rsidR="00521BF7" w:rsidRPr="00F5324D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 xml:space="preserve"> et </w:t>
            </w:r>
            <w:r w:rsidRPr="00F5324D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>compréhension des lignes directrices de sécurité et des méthodes permettant de traiter des situations de mauvais traitement et de harcèlement.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8012F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</w:p>
          <w:p w:rsidR="000B2CB7" w:rsidRPr="00F5324D" w:rsidRDefault="00F5324D" w:rsidP="00A67F74">
            <w:pPr>
              <w:rPr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Illustration de stratégies de gestion du stress à employer dans divers contextes.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8012F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Habitudes de santé personnelle</w:t>
            </w:r>
            <w:r w:rsidR="00AF5449">
              <w:rPr>
                <w:b/>
                <w:lang w:val="fr-CA" w:bidi="fr-CA"/>
              </w:rPr>
              <w:t>s</w:t>
            </w:r>
          </w:p>
          <w:p w:rsidR="000B2CB7" w:rsidRPr="00F5324D" w:rsidRDefault="00F5324D" w:rsidP="00A67F74">
            <w:pPr>
              <w:rPr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Compréhension des pratiques quotidiennes de maintien de la santé personnelle.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8012F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EF019B" w:rsidRDefault="000B2CB7" w:rsidP="00EF019B">
            <w:pPr>
              <w:rPr>
                <w:b/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</w:p>
          <w:p w:rsidR="000B2CB7" w:rsidRPr="00F5324D" w:rsidRDefault="00F5324D" w:rsidP="00EF019B">
            <w:pPr>
              <w:rPr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Compréhension des choix alimentaires et des besoins visant à maintenir un corps sain.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8012F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452E0" w:rsidRDefault="00651D18" w:rsidP="00651D18">
            <w:pPr>
              <w:rPr>
                <w:b/>
                <w:sz w:val="20"/>
                <w:szCs w:val="20"/>
                <w:lang w:val="fr-CA" w:bidi="fr-CA"/>
              </w:rPr>
            </w:pPr>
            <w:r w:rsidRPr="004452E0">
              <w:rPr>
                <w:b/>
                <w:sz w:val="20"/>
                <w:szCs w:val="20"/>
                <w:lang w:val="fr-CA" w:bidi="fr-CA"/>
              </w:rPr>
              <w:t>Prévention de l’usage et de l’abus d’alcool ou d'autres drogues</w:t>
            </w:r>
            <w:r w:rsidR="00EF019B">
              <w:rPr>
                <w:b/>
                <w:sz w:val="20"/>
                <w:szCs w:val="20"/>
                <w:lang w:val="fr-CA" w:bidi="fr-CA"/>
              </w:rPr>
              <w:t xml:space="preserve"> (aucun RAS en 6</w:t>
            </w:r>
            <w:r w:rsidR="00EF019B" w:rsidRPr="00EF019B">
              <w:rPr>
                <w:b/>
                <w:sz w:val="20"/>
                <w:szCs w:val="20"/>
                <w:vertAlign w:val="superscript"/>
                <w:lang w:val="fr-CA" w:bidi="fr-CA"/>
              </w:rPr>
              <w:t>e</w:t>
            </w:r>
            <w:r w:rsidR="00EF019B">
              <w:rPr>
                <w:b/>
                <w:sz w:val="20"/>
                <w:szCs w:val="20"/>
                <w:lang w:val="fr-CA" w:bidi="fr-CA"/>
              </w:rPr>
              <w:t xml:space="preserve"> année)</w:t>
            </w:r>
          </w:p>
          <w:p w:rsidR="000B2CB7" w:rsidRPr="00F5324D" w:rsidRDefault="00F5324D" w:rsidP="00A67F74">
            <w:pPr>
              <w:rPr>
                <w:b/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Compréhension des stratégies visant à prévenir ou à éviter l’utilisation et la consommation abusive de certaines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8012FD" w:rsidTr="00521BF7">
        <w:trPr>
          <w:trHeight w:val="1001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Sexualit</w:t>
            </w:r>
            <w:r w:rsidR="00651D18" w:rsidRPr="00651D18">
              <w:rPr>
                <w:b/>
                <w:lang w:val="fr-CA"/>
              </w:rPr>
              <w:t>é</w:t>
            </w:r>
            <w:r w:rsidR="00EF019B">
              <w:rPr>
                <w:b/>
                <w:lang w:val="fr-CA"/>
              </w:rPr>
              <w:t xml:space="preserve"> (aucun RAS en 6</w:t>
            </w:r>
            <w:r w:rsidR="00EF019B" w:rsidRPr="00EF019B">
              <w:rPr>
                <w:b/>
                <w:vertAlign w:val="superscript"/>
                <w:lang w:val="fr-CA"/>
              </w:rPr>
              <w:t>e</w:t>
            </w:r>
            <w:r w:rsidR="00EF019B">
              <w:rPr>
                <w:b/>
                <w:lang w:val="fr-CA"/>
              </w:rPr>
              <w:t xml:space="preserve"> année)</w:t>
            </w:r>
          </w:p>
          <w:p w:rsidR="000B2CB7" w:rsidRPr="00F5324D" w:rsidRDefault="00F5324D" w:rsidP="00A67F74">
            <w:pPr>
              <w:rPr>
                <w:i/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/>
              </w:rPr>
              <w:t>Compréhension des changemen</w:t>
            </w:r>
            <w:r w:rsidR="00EE4454">
              <w:rPr>
                <w:rFonts w:ascii="Calibri" w:eastAsia="Calibri" w:hAnsi="Calibri" w:cs="Times New Roman"/>
                <w:i/>
                <w:lang w:val="fr-CA"/>
              </w:rPr>
              <w:t>ts physiques et socio-affectifs</w:t>
            </w:r>
            <w:r w:rsidRPr="00F5324D">
              <w:rPr>
                <w:rFonts w:ascii="Calibri" w:eastAsia="Calibri" w:hAnsi="Calibri" w:cs="Times New Roman"/>
                <w:i/>
                <w:lang w:val="fr-CA"/>
              </w:rPr>
              <w:t xml:space="preserve"> ainsi que des responsabilités personnelles associées à la puberté.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B54B94" w:rsidRPr="00651D18" w:rsidRDefault="00651D18" w:rsidP="00EF019B">
      <w:pPr>
        <w:spacing w:after="0" w:line="240" w:lineRule="auto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4D" w:rsidRDefault="00F5324D" w:rsidP="002051A2">
      <w:pPr>
        <w:spacing w:after="0" w:line="240" w:lineRule="auto"/>
      </w:pPr>
      <w:r>
        <w:separator/>
      </w:r>
    </w:p>
  </w:endnote>
  <w:end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4D" w:rsidRDefault="00F5324D" w:rsidP="002051A2">
      <w:pPr>
        <w:spacing w:after="0" w:line="240" w:lineRule="auto"/>
      </w:pPr>
      <w:r>
        <w:separator/>
      </w:r>
    </w:p>
  </w:footnote>
  <w:foot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354C1"/>
    <w:rsid w:val="000730A4"/>
    <w:rsid w:val="00077731"/>
    <w:rsid w:val="00092BE9"/>
    <w:rsid w:val="000B0463"/>
    <w:rsid w:val="000B2CB7"/>
    <w:rsid w:val="000D2649"/>
    <w:rsid w:val="000D479C"/>
    <w:rsid w:val="000F502E"/>
    <w:rsid w:val="00122B5B"/>
    <w:rsid w:val="00123C5F"/>
    <w:rsid w:val="00162F5E"/>
    <w:rsid w:val="00185196"/>
    <w:rsid w:val="001924B8"/>
    <w:rsid w:val="001B4E7B"/>
    <w:rsid w:val="001D41E5"/>
    <w:rsid w:val="00202439"/>
    <w:rsid w:val="002051A2"/>
    <w:rsid w:val="002334AD"/>
    <w:rsid w:val="002543CE"/>
    <w:rsid w:val="002576CE"/>
    <w:rsid w:val="00261BBF"/>
    <w:rsid w:val="0028288B"/>
    <w:rsid w:val="002B4297"/>
    <w:rsid w:val="002C5747"/>
    <w:rsid w:val="002E28BB"/>
    <w:rsid w:val="00324706"/>
    <w:rsid w:val="00324B7E"/>
    <w:rsid w:val="00327344"/>
    <w:rsid w:val="003856F3"/>
    <w:rsid w:val="003D3A4B"/>
    <w:rsid w:val="003E7852"/>
    <w:rsid w:val="003F47E4"/>
    <w:rsid w:val="0042475D"/>
    <w:rsid w:val="00437E56"/>
    <w:rsid w:val="004452E0"/>
    <w:rsid w:val="00446A42"/>
    <w:rsid w:val="0046095B"/>
    <w:rsid w:val="004837EE"/>
    <w:rsid w:val="00496FA1"/>
    <w:rsid w:val="004D2CAC"/>
    <w:rsid w:val="004D7B77"/>
    <w:rsid w:val="004F7B87"/>
    <w:rsid w:val="00521BF7"/>
    <w:rsid w:val="00524D15"/>
    <w:rsid w:val="005D671C"/>
    <w:rsid w:val="00612729"/>
    <w:rsid w:val="006151AB"/>
    <w:rsid w:val="0062160B"/>
    <w:rsid w:val="00627F7D"/>
    <w:rsid w:val="00634DB6"/>
    <w:rsid w:val="00636CB5"/>
    <w:rsid w:val="00651D18"/>
    <w:rsid w:val="00657208"/>
    <w:rsid w:val="00670EED"/>
    <w:rsid w:val="006723ED"/>
    <w:rsid w:val="00774913"/>
    <w:rsid w:val="007852C7"/>
    <w:rsid w:val="0079382F"/>
    <w:rsid w:val="007B2DDB"/>
    <w:rsid w:val="007B7076"/>
    <w:rsid w:val="007E5ECC"/>
    <w:rsid w:val="008012FD"/>
    <w:rsid w:val="00832B79"/>
    <w:rsid w:val="00860392"/>
    <w:rsid w:val="00865974"/>
    <w:rsid w:val="00866D15"/>
    <w:rsid w:val="00880421"/>
    <w:rsid w:val="008F49EA"/>
    <w:rsid w:val="0096012C"/>
    <w:rsid w:val="00974C6D"/>
    <w:rsid w:val="00987626"/>
    <w:rsid w:val="009A0ABD"/>
    <w:rsid w:val="009C57C1"/>
    <w:rsid w:val="009E614C"/>
    <w:rsid w:val="00A060F6"/>
    <w:rsid w:val="00A234C8"/>
    <w:rsid w:val="00A31431"/>
    <w:rsid w:val="00A606F0"/>
    <w:rsid w:val="00A65EDD"/>
    <w:rsid w:val="00A67F74"/>
    <w:rsid w:val="00A7021A"/>
    <w:rsid w:val="00A73A87"/>
    <w:rsid w:val="00A9190D"/>
    <w:rsid w:val="00AA2B55"/>
    <w:rsid w:val="00AA75F0"/>
    <w:rsid w:val="00AD3FB0"/>
    <w:rsid w:val="00AF5449"/>
    <w:rsid w:val="00AF5F90"/>
    <w:rsid w:val="00AF774C"/>
    <w:rsid w:val="00B54B94"/>
    <w:rsid w:val="00B55330"/>
    <w:rsid w:val="00B741E7"/>
    <w:rsid w:val="00B853F6"/>
    <w:rsid w:val="00BB7A7A"/>
    <w:rsid w:val="00C1326C"/>
    <w:rsid w:val="00C651AB"/>
    <w:rsid w:val="00CA6EE3"/>
    <w:rsid w:val="00CB0C24"/>
    <w:rsid w:val="00CF61B5"/>
    <w:rsid w:val="00D10B67"/>
    <w:rsid w:val="00D16246"/>
    <w:rsid w:val="00D72D41"/>
    <w:rsid w:val="00D82903"/>
    <w:rsid w:val="00D90BD2"/>
    <w:rsid w:val="00DA6120"/>
    <w:rsid w:val="00DE294E"/>
    <w:rsid w:val="00E020CA"/>
    <w:rsid w:val="00E039E3"/>
    <w:rsid w:val="00E37AB9"/>
    <w:rsid w:val="00E434E7"/>
    <w:rsid w:val="00EA420C"/>
    <w:rsid w:val="00EB7369"/>
    <w:rsid w:val="00EE4454"/>
    <w:rsid w:val="00EF019B"/>
    <w:rsid w:val="00F408D1"/>
    <w:rsid w:val="00F47259"/>
    <w:rsid w:val="00F5324D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sixiem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2166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2016-08-26T20:17:00Z</cp:lastPrinted>
  <dcterms:created xsi:type="dcterms:W3CDTF">2016-10-31T16:15:00Z</dcterms:created>
  <dcterms:modified xsi:type="dcterms:W3CDTF">2016-10-31T16:15:00Z</dcterms:modified>
</cp:coreProperties>
</file>