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F99F" w14:textId="77777777" w:rsidR="00BF1C8E" w:rsidRPr="005F3E1B" w:rsidRDefault="00BF1C8E" w:rsidP="007400FF">
      <w:pPr>
        <w:pStyle w:val="Heading3"/>
        <w:keepNext w:val="0"/>
        <w:jc w:val="center"/>
        <w:rPr>
          <w:sz w:val="32"/>
          <w:szCs w:val="32"/>
          <w:u w:val="single"/>
          <w:lang w:val="fr-CA"/>
        </w:rPr>
        <w:sectPr w:rsidR="00BF1C8E" w:rsidRPr="005F3E1B" w:rsidSect="00AB1FB2">
          <w:headerReference w:type="default" r:id="rId8"/>
          <w:footerReference w:type="default" r:id="rId9"/>
          <w:pgSz w:w="12240" w:h="15840"/>
          <w:pgMar w:top="851" w:right="1800" w:bottom="540" w:left="1276" w:header="360" w:footer="720" w:gutter="0"/>
          <w:cols w:space="720"/>
        </w:sectPr>
      </w:pPr>
      <w:bookmarkStart w:id="0" w:name="_GoBack"/>
      <w:bookmarkEnd w:id="0"/>
      <w:r>
        <w:rPr>
          <w:bCs/>
          <w:sz w:val="32"/>
          <w:szCs w:val="32"/>
          <w:u w:val="single"/>
          <w:lang w:val="fr-CA"/>
        </w:rPr>
        <w:t>LE DIABÈTE</w:t>
      </w:r>
    </w:p>
    <w:p w14:paraId="59A63302" w14:textId="77777777" w:rsidR="00BF1C8E" w:rsidRPr="005F3E1B" w:rsidRDefault="00BF1C8E" w:rsidP="007400FF">
      <w:pPr>
        <w:pStyle w:val="BodyText"/>
        <w:rPr>
          <w:rFonts w:ascii="Arial" w:hAnsi="Arial" w:cs="Arial"/>
          <w:sz w:val="20"/>
          <w:lang w:val="fr-CA"/>
        </w:rPr>
      </w:pPr>
    </w:p>
    <w:p w14:paraId="57FFC34B" w14:textId="77777777" w:rsidR="00654CAB" w:rsidRPr="005F3E1B" w:rsidRDefault="00654CAB" w:rsidP="007400FF">
      <w:pPr>
        <w:pStyle w:val="BodyText"/>
        <w:spacing w:before="120"/>
        <w:rPr>
          <w:rFonts w:ascii="Arial" w:hAnsi="Arial" w:cs="Arial"/>
          <w:b/>
          <w:szCs w:val="24"/>
          <w:lang w:val="fr-CA"/>
        </w:rPr>
      </w:pPr>
      <w:r>
        <w:rPr>
          <w:rFonts w:ascii="Arial" w:hAnsi="Arial" w:cs="Arial"/>
          <w:b/>
          <w:bCs/>
          <w:szCs w:val="24"/>
          <w:lang w:val="fr-CA"/>
        </w:rPr>
        <w:t>Diabète</w:t>
      </w:r>
    </w:p>
    <w:p w14:paraId="09F3FFD9" w14:textId="75FC84AF" w:rsidR="00F3323B" w:rsidRPr="005F3E1B" w:rsidRDefault="0048454D" w:rsidP="00625299">
      <w:pPr>
        <w:pStyle w:val="BodyText"/>
        <w:spacing w:before="60"/>
        <w:ind w:right="-47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diabète est une maladie qui découle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une carence ou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 défaut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utilisation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insuline.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est une hormone produite par le pancréas et dont le corps a besoin pour transformer la nourriture en énergie.</w:t>
      </w:r>
    </w:p>
    <w:p w14:paraId="70AAD503" w14:textId="77777777" w:rsidR="00BF1C8E" w:rsidRPr="005F3E1B" w:rsidRDefault="00BF1C8E" w:rsidP="007400FF">
      <w:pPr>
        <w:pStyle w:val="BodyText"/>
        <w:rPr>
          <w:rFonts w:ascii="Arial" w:hAnsi="Arial" w:cs="Arial"/>
          <w:sz w:val="20"/>
          <w:lang w:val="fr-CA"/>
        </w:rPr>
      </w:pPr>
    </w:p>
    <w:p w14:paraId="64BAC23C" w14:textId="77777777" w:rsidR="00BF1C8E" w:rsidRPr="005F3E1B" w:rsidRDefault="00BF1C8E" w:rsidP="007400FF">
      <w:pPr>
        <w:pStyle w:val="BodyTex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Il existe deux principaux types de diabète :</w:t>
      </w:r>
    </w:p>
    <w:p w14:paraId="6BBA523C" w14:textId="54959FB3" w:rsidR="00BF1C8E" w:rsidRPr="005F3E1B" w:rsidRDefault="00BF1C8E" w:rsidP="007400FF">
      <w:pPr>
        <w:numPr>
          <w:ilvl w:val="0"/>
          <w:numId w:val="1"/>
        </w:numPr>
        <w:tabs>
          <w:tab w:val="left" w:pos="360"/>
        </w:tabs>
        <w:spacing w:line="276" w:lineRule="auto"/>
        <w:ind w:hanging="18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Dans le diabète de type 1, le pancréas ne peut pas produire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insuline.</w:t>
      </w:r>
    </w:p>
    <w:p w14:paraId="65F1AADA" w14:textId="47BD5366" w:rsidR="00BF1C8E" w:rsidRPr="005F3E1B" w:rsidRDefault="00BF1C8E" w:rsidP="007400FF">
      <w:pPr>
        <w:numPr>
          <w:ilvl w:val="0"/>
          <w:numId w:val="1"/>
        </w:numPr>
        <w:tabs>
          <w:tab w:val="left" w:pos="360"/>
        </w:tabs>
        <w:spacing w:line="276" w:lineRule="auto"/>
        <w:ind w:hanging="18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Dans le diabète de type 2, le pancréas ne produit pas assez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insuline ou le corps n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utilise pas bien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insuline produite.</w:t>
      </w:r>
    </w:p>
    <w:p w14:paraId="03344C22" w14:textId="77777777" w:rsidR="00BF1C8E" w:rsidRPr="005F3E1B" w:rsidRDefault="00BF1C8E" w:rsidP="007400FF">
      <w:pPr>
        <w:tabs>
          <w:tab w:val="left" w:pos="630"/>
        </w:tabs>
        <w:ind w:left="360"/>
        <w:rPr>
          <w:rFonts w:ascii="Arial" w:hAnsi="Arial" w:cs="Arial"/>
          <w:sz w:val="20"/>
          <w:szCs w:val="20"/>
          <w:lang w:val="fr-CA"/>
        </w:rPr>
      </w:pPr>
    </w:p>
    <w:p w14:paraId="08596D27" w14:textId="77777777" w:rsidR="00BF1C8E" w:rsidRPr="005F3E1B" w:rsidRDefault="00BF1C8E" w:rsidP="007400FF">
      <w:pPr>
        <w:pStyle w:val="Heading3"/>
        <w:keepNext w:val="0"/>
        <w:rPr>
          <w:rFonts w:cs="Arial"/>
          <w:szCs w:val="24"/>
          <w:lang w:val="fr-CA"/>
        </w:rPr>
      </w:pPr>
      <w:r>
        <w:rPr>
          <w:rFonts w:cs="Arial"/>
          <w:bCs/>
          <w:szCs w:val="24"/>
          <w:lang w:val="fr-CA"/>
        </w:rPr>
        <w:t>Contrôle du diabète</w:t>
      </w:r>
    </w:p>
    <w:p w14:paraId="21F5DAC8" w14:textId="21FF9D9C" w:rsidR="007400FF" w:rsidRPr="005F3E1B" w:rsidRDefault="00F3323B" w:rsidP="007400FF">
      <w:pPr>
        <w:pStyle w:val="BodyText"/>
        <w:spacing w:before="6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Il est essentiel pour contrôler le diabète de trouver un bon équilibre entre la nourriture,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et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exercice. Le moment choisi pour injecter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insuline, vérifier la glycémie, prendre des repas et goûters et faire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exercice est important pour bien contrôler la glycémie. La nourriture élève le taux de glucose dans le sang.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et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exercice font baisser le taux de glucose dans le sang, en permettant au glucose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être utilisé par les cellules du corps.</w:t>
      </w:r>
    </w:p>
    <w:p w14:paraId="16620B8F" w14:textId="655FA97C" w:rsidR="00F3323B" w:rsidRPr="005F3E1B" w:rsidRDefault="00F3323B" w:rsidP="007400FF">
      <w:pPr>
        <w:pStyle w:val="BodyText"/>
        <w:rPr>
          <w:rFonts w:ascii="Arial" w:hAnsi="Arial" w:cs="Arial"/>
          <w:sz w:val="20"/>
          <w:lang w:val="fr-CA"/>
        </w:rPr>
      </w:pPr>
    </w:p>
    <w:p w14:paraId="4A623D6C" w14:textId="77777777" w:rsidR="00BF1C8E" w:rsidRPr="00AB1FB2" w:rsidRDefault="00BF1C8E" w:rsidP="007400FF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  <w:lang w:val="fr-CA"/>
        </w:rPr>
        <w:t>Nourriture</w:t>
      </w:r>
    </w:p>
    <w:p w14:paraId="35DB3539" w14:textId="0EFD533F" w:rsidR="0048454D" w:rsidRDefault="0048454D" w:rsidP="007400FF">
      <w:pPr>
        <w:pStyle w:val="Body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Le programme communautaire n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 pas besoin de connaître les détails du plan de repas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enfant, mais les principes suivants peuvent être suivis pour certains enfants diabétiques.</w:t>
      </w:r>
    </w:p>
    <w:p w14:paraId="35958F25" w14:textId="77777777" w:rsidR="00BF1C8E" w:rsidRPr="00AB1FB2" w:rsidRDefault="00BF1C8E" w:rsidP="007400FF">
      <w:pPr>
        <w:pStyle w:val="BodyText"/>
        <w:numPr>
          <w:ilvl w:val="0"/>
          <w:numId w:val="16"/>
        </w:numPr>
        <w:spacing w:line="276" w:lineRule="auto"/>
        <w:ind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Consommer la même quantité de nourriture (glucides) chaque jour.</w:t>
      </w:r>
    </w:p>
    <w:p w14:paraId="45A14433" w14:textId="77777777" w:rsidR="00BF1C8E" w:rsidRPr="00AB1FB2" w:rsidRDefault="00BF1C8E" w:rsidP="007400FF">
      <w:pPr>
        <w:pStyle w:val="BodyText"/>
        <w:numPr>
          <w:ilvl w:val="0"/>
          <w:numId w:val="16"/>
        </w:numPr>
        <w:spacing w:line="276" w:lineRule="auto"/>
        <w:ind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Prendre repas et goûters à la même heure chaque jour.</w:t>
      </w:r>
    </w:p>
    <w:p w14:paraId="56C2367D" w14:textId="720D1314" w:rsidR="00BF1C8E" w:rsidRPr="00654CAB" w:rsidRDefault="00BF1C8E" w:rsidP="007400FF">
      <w:pPr>
        <w:pStyle w:val="BodyText"/>
        <w:numPr>
          <w:ilvl w:val="0"/>
          <w:numId w:val="16"/>
        </w:numPr>
        <w:spacing w:line="276" w:lineRule="auto"/>
        <w:ind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Éviter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échanger ou de jeter de la nourriture.</w:t>
      </w:r>
    </w:p>
    <w:p w14:paraId="73B12AB4" w14:textId="77777777" w:rsidR="00BF1C8E" w:rsidRPr="00576CD3" w:rsidRDefault="00BF1C8E" w:rsidP="007400FF">
      <w:pPr>
        <w:pStyle w:val="BodyText"/>
        <w:ind w:left="720" w:hanging="360"/>
        <w:rPr>
          <w:rFonts w:ascii="Arial" w:hAnsi="Arial" w:cs="Arial"/>
          <w:sz w:val="20"/>
        </w:rPr>
      </w:pPr>
    </w:p>
    <w:p w14:paraId="6EC03EAA" w14:textId="77777777" w:rsidR="00BF1C8E" w:rsidRPr="00654CAB" w:rsidRDefault="00BF1C8E" w:rsidP="007400FF">
      <w:pPr>
        <w:pStyle w:val="BodyText"/>
        <w:ind w:left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  <w:lang w:val="fr-CA"/>
        </w:rPr>
        <w:t>Exercice</w:t>
      </w:r>
    </w:p>
    <w:p w14:paraId="23F18F0C" w14:textId="4CFA13B1" w:rsidR="007400FF" w:rsidRDefault="0048454D" w:rsidP="007400FF">
      <w:pPr>
        <w:pStyle w:val="BodyText"/>
        <w:spacing w:before="60"/>
        <w:ind w:left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Chez les enfants diabétiques,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exercice peut aider à contrôler la glycémie. Lorsque les enfants participent à une activité physique vigoureuse, il est essentiel de bien planifier cette activité pour maintenir leur glycémie au niveau voulu. Le principal risque qui découle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une activité physique vigoureuse non planifiée est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hypoglycémie (taux de glucose dans le sang trop bas). Il faut prévenir le parent ou tuteur en cas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activité spéciale afin 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ils puissent veiller à ce que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ait de la nourriture supplémentaire pour compenser ou 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ils réduisent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administrée s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ils le souhaitent. Les sports ou les autres activités physiques qui ont lieu au moment des repas exigent également une planification particulière.</w:t>
      </w:r>
    </w:p>
    <w:p w14:paraId="4E7184CF" w14:textId="6FD6F13C" w:rsidR="00BF1C8E" w:rsidRDefault="00BF1C8E" w:rsidP="007400FF">
      <w:pPr>
        <w:pStyle w:val="BodyText"/>
        <w:ind w:left="60"/>
        <w:rPr>
          <w:rFonts w:ascii="Arial" w:hAnsi="Arial" w:cs="Arial"/>
          <w:sz w:val="20"/>
          <w:u w:val="single"/>
        </w:rPr>
      </w:pPr>
    </w:p>
    <w:p w14:paraId="22D70A50" w14:textId="77777777" w:rsidR="00625299" w:rsidRDefault="00625299" w:rsidP="00625299">
      <w:pPr>
        <w:pStyle w:val="BodyText"/>
        <w:rPr>
          <w:rFonts w:ascii="Arial" w:hAnsi="Arial" w:cs="Arial"/>
          <w:sz w:val="20"/>
          <w:u w:val="single"/>
          <w:lang w:val="fr-CA"/>
        </w:rPr>
      </w:pPr>
    </w:p>
    <w:p w14:paraId="33A864D2" w14:textId="77777777" w:rsidR="00625299" w:rsidRDefault="00625299" w:rsidP="00625299">
      <w:pPr>
        <w:pStyle w:val="BodyText"/>
        <w:rPr>
          <w:rFonts w:ascii="Arial" w:hAnsi="Arial" w:cs="Arial"/>
          <w:sz w:val="20"/>
          <w:u w:val="single"/>
          <w:lang w:val="fr-CA"/>
        </w:rPr>
      </w:pPr>
    </w:p>
    <w:p w14:paraId="0729424A" w14:textId="77777777" w:rsidR="00625299" w:rsidRDefault="00625299" w:rsidP="00625299">
      <w:pPr>
        <w:pStyle w:val="BodyText"/>
        <w:rPr>
          <w:rFonts w:ascii="Arial" w:hAnsi="Arial" w:cs="Arial"/>
          <w:sz w:val="20"/>
          <w:u w:val="single"/>
          <w:lang w:val="fr-CA"/>
        </w:rPr>
      </w:pPr>
    </w:p>
    <w:p w14:paraId="50077601" w14:textId="77777777" w:rsidR="00625299" w:rsidRDefault="00625299" w:rsidP="00625299">
      <w:pPr>
        <w:pStyle w:val="BodyText"/>
        <w:rPr>
          <w:rFonts w:ascii="Arial" w:hAnsi="Arial" w:cs="Arial"/>
          <w:sz w:val="20"/>
          <w:u w:val="single"/>
          <w:lang w:val="fr-CA"/>
        </w:rPr>
      </w:pPr>
    </w:p>
    <w:p w14:paraId="3FA1B8BC" w14:textId="77777777" w:rsidR="00625299" w:rsidRDefault="00625299" w:rsidP="00625299">
      <w:pPr>
        <w:pStyle w:val="BodyText"/>
        <w:rPr>
          <w:rFonts w:ascii="Arial" w:hAnsi="Arial" w:cs="Arial"/>
          <w:sz w:val="20"/>
          <w:u w:val="single"/>
          <w:lang w:val="fr-CA"/>
        </w:rPr>
      </w:pPr>
    </w:p>
    <w:p w14:paraId="7BBC7725" w14:textId="4946E3E6" w:rsidR="00625299" w:rsidRPr="00625299" w:rsidRDefault="00BF1C8E" w:rsidP="00625299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  <w:lang w:val="fr-CA"/>
        </w:rPr>
        <w:t>Insuline</w:t>
      </w:r>
    </w:p>
    <w:p w14:paraId="7F752481" w14:textId="11DA38A9" w:rsidR="007400FF" w:rsidRDefault="0048454D" w:rsidP="00625299">
      <w:pPr>
        <w:pStyle w:val="BodyText"/>
        <w:spacing w:before="60"/>
        <w:ind w:right="-18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Les enfants atteints du diabète de type 1 ont besoin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injections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plusieurs fois par jour. Les enfants atteints du diabète de type 2 peuvent avoir besoin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ou de médicaments à prendre par voie orale pour aider leur corps à fabriquer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ou à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utiliser de façon plus efficace. La plupart des injections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 sont faites à la maison. Le personnel des programmes communautaires n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est pas chargé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administrer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insuline.</w:t>
      </w:r>
    </w:p>
    <w:p w14:paraId="4C525D29" w14:textId="050989C4" w:rsidR="00BF1C8E" w:rsidRPr="00576CD3" w:rsidRDefault="00BF1C8E" w:rsidP="00625299">
      <w:pPr>
        <w:pStyle w:val="BodyText"/>
        <w:rPr>
          <w:rFonts w:ascii="Arial" w:hAnsi="Arial" w:cs="Arial"/>
          <w:sz w:val="20"/>
        </w:rPr>
      </w:pPr>
    </w:p>
    <w:p w14:paraId="0ECCD18D" w14:textId="57C34301" w:rsidR="00BF1C8E" w:rsidRPr="003605BF" w:rsidRDefault="00BF1C8E" w:rsidP="007400FF">
      <w:pPr>
        <w:pStyle w:val="BodyText"/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  <w:lang w:val="fr-CA"/>
        </w:rPr>
        <w:t>Quand l</w:t>
      </w:r>
      <w:r w:rsidR="00625299">
        <w:rPr>
          <w:rFonts w:ascii="Arial" w:hAnsi="Arial" w:cs="Arial"/>
          <w:b/>
          <w:bCs/>
          <w:szCs w:val="24"/>
          <w:lang w:val="fr-CA"/>
        </w:rPr>
        <w:t>’</w:t>
      </w:r>
      <w:r>
        <w:rPr>
          <w:rFonts w:ascii="Arial" w:hAnsi="Arial" w:cs="Arial"/>
          <w:b/>
          <w:bCs/>
          <w:szCs w:val="24"/>
          <w:lang w:val="fr-CA"/>
        </w:rPr>
        <w:t>enfant est malade</w:t>
      </w:r>
    </w:p>
    <w:p w14:paraId="70AD87D3" w14:textId="6EE5C301" w:rsidR="007400FF" w:rsidRDefault="0048454D" w:rsidP="007400FF">
      <w:pPr>
        <w:pStyle w:val="Body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Lorsqu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 enfant diabétique contracte une maladie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enfance ordinaire, celle-ci peut avoir une incidence sur sa glycémie. Il faut en aviser le parent ou tuteur.</w:t>
      </w:r>
    </w:p>
    <w:p w14:paraId="3C390CD6" w14:textId="6FDC4770" w:rsidR="00BF1C8E" w:rsidRPr="00576CD3" w:rsidRDefault="00BF1C8E" w:rsidP="007400FF">
      <w:pPr>
        <w:pStyle w:val="BodyText"/>
        <w:rPr>
          <w:rFonts w:ascii="Arial" w:hAnsi="Arial" w:cs="Arial"/>
          <w:sz w:val="20"/>
        </w:rPr>
      </w:pPr>
    </w:p>
    <w:p w14:paraId="6526264F" w14:textId="0CA43D98" w:rsidR="007400FF" w:rsidRDefault="00F3323B" w:rsidP="00625299">
      <w:pPr>
        <w:pStyle w:val="BodyText"/>
        <w:ind w:right="-18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Les vomissements et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incapacité de garder la nourriture ou les liquides sont graves, car la nourriture est nécessaire pour équilibrer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insuline. Si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vomit ou ne peut pas garder de nourriture ou de liquide, communiquez immédiatement avec le parent ou tuteur. Si vous n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 xml:space="preserve">arrivez pas à joindre le parent, le tuteur ou </w:t>
      </w:r>
      <w:proofErr w:type="gramStart"/>
      <w:r>
        <w:rPr>
          <w:rFonts w:ascii="Arial" w:hAnsi="Arial" w:cs="Arial"/>
          <w:sz w:val="20"/>
          <w:lang w:val="fr-CA"/>
        </w:rPr>
        <w:t>toute</w:t>
      </w:r>
      <w:proofErr w:type="gramEnd"/>
      <w:r>
        <w:rPr>
          <w:rFonts w:ascii="Arial" w:hAnsi="Arial" w:cs="Arial"/>
          <w:sz w:val="20"/>
          <w:lang w:val="fr-CA"/>
        </w:rPr>
        <w:t xml:space="preserve"> autre personne à contacter en cas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urgence, composez le 911 ou le numéro des services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urgence.</w:t>
      </w:r>
    </w:p>
    <w:p w14:paraId="7DBB2ACB" w14:textId="4C409879" w:rsidR="00BF1C8E" w:rsidRPr="00576CD3" w:rsidRDefault="00BF1C8E" w:rsidP="007400FF">
      <w:pPr>
        <w:pStyle w:val="BodyText"/>
        <w:rPr>
          <w:rFonts w:ascii="Arial" w:hAnsi="Arial" w:cs="Arial"/>
          <w:sz w:val="20"/>
        </w:rPr>
      </w:pPr>
    </w:p>
    <w:p w14:paraId="64EEE13B" w14:textId="77777777" w:rsidR="007400FF" w:rsidRDefault="00BF1C8E" w:rsidP="007400F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fr-CA"/>
        </w:rPr>
        <w:t>Hypoglycémie</w:t>
      </w:r>
    </w:p>
    <w:p w14:paraId="0CC25FBB" w14:textId="1875D871" w:rsidR="007400FF" w:rsidRPr="005F3E1B" w:rsidRDefault="0048454D" w:rsidP="007400FF">
      <w:pPr>
        <w:pStyle w:val="BodyText"/>
        <w:tabs>
          <w:tab w:val="left" w:pos="7083"/>
        </w:tabs>
        <w:spacing w:before="6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hypoglycémie se produit lorsque le taux de glucose dans le sang est inférieur à 4 mmol/l. Il s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agit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une situation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 :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peut sembler en santé et normal et devenir hypoglycémique dans les minutes qui suivent.</w:t>
      </w:r>
    </w:p>
    <w:p w14:paraId="1F89E2F0" w14:textId="03988210" w:rsidR="0048454D" w:rsidRPr="005F3E1B" w:rsidRDefault="0048454D" w:rsidP="007400FF">
      <w:pPr>
        <w:pStyle w:val="BodyText"/>
        <w:tabs>
          <w:tab w:val="left" w:pos="7083"/>
        </w:tabs>
        <w:rPr>
          <w:rFonts w:ascii="Arial" w:hAnsi="Arial" w:cs="Arial"/>
          <w:sz w:val="20"/>
          <w:lang w:val="fr-CA"/>
        </w:rPr>
      </w:pPr>
    </w:p>
    <w:p w14:paraId="69C43DD3" w14:textId="05DD5D83" w:rsidR="007400FF" w:rsidRDefault="0048454D" w:rsidP="007400FF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hypoglycémie peut être causée par une nourriture insuffisante, ou par le fait de ne pas manger à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heure prévue, de sauter un repas ou de le retarder.</w:t>
      </w:r>
    </w:p>
    <w:p w14:paraId="650C5E52" w14:textId="17DF3A17" w:rsidR="00BF1C8E" w:rsidRPr="00576CD3" w:rsidRDefault="00BF1C8E" w:rsidP="007400FF">
      <w:pPr>
        <w:rPr>
          <w:rFonts w:ascii="Arial" w:hAnsi="Arial" w:cs="Arial"/>
          <w:sz w:val="20"/>
          <w:szCs w:val="20"/>
        </w:rPr>
      </w:pPr>
    </w:p>
    <w:p w14:paraId="268B5C5D" w14:textId="2F4D738E" w:rsidR="00BF1C8E" w:rsidRPr="00654CAB" w:rsidRDefault="00654CAB" w:rsidP="007400F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t>Symptômes d</w:t>
      </w:r>
      <w:r w:rsidR="00625299">
        <w:rPr>
          <w:rFonts w:ascii="Arial" w:hAnsi="Arial" w:cs="Arial"/>
          <w:sz w:val="20"/>
          <w:szCs w:val="20"/>
          <w:u w:val="single"/>
          <w:lang w:val="fr-CA"/>
        </w:rPr>
        <w:t>’</w:t>
      </w:r>
      <w:r>
        <w:rPr>
          <w:rFonts w:ascii="Arial" w:hAnsi="Arial" w:cs="Arial"/>
          <w:sz w:val="20"/>
          <w:szCs w:val="20"/>
          <w:u w:val="single"/>
          <w:lang w:val="fr-CA"/>
        </w:rPr>
        <w:t>hypoglycémie</w:t>
      </w:r>
    </w:p>
    <w:p w14:paraId="4B6316D4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Peau froide, moite ou en sueur.</w:t>
      </w:r>
    </w:p>
    <w:p w14:paraId="336FA1F3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Tremblements, manque de coordination.</w:t>
      </w:r>
    </w:p>
    <w:p w14:paraId="5CA4C66F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Irritabilité, hostilité, mauvais comportement.</w:t>
      </w:r>
    </w:p>
    <w:p w14:paraId="385D8464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Fatigue.</w:t>
      </w:r>
    </w:p>
    <w:p w14:paraId="76ACB1AA" w14:textId="22FA937C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Sautes d</w:t>
      </w:r>
      <w:r w:rsidR="00625299">
        <w:rPr>
          <w:rFonts w:ascii="Arial" w:eastAsia="Calibri" w:hAnsi="Arial" w:cs="Arial"/>
          <w:sz w:val="20"/>
          <w:szCs w:val="20"/>
          <w:lang w:val="fr-CA"/>
        </w:rPr>
        <w:t>’</w:t>
      </w:r>
      <w:r>
        <w:rPr>
          <w:rFonts w:ascii="Arial" w:eastAsia="Calibri" w:hAnsi="Arial" w:cs="Arial"/>
          <w:sz w:val="20"/>
          <w:szCs w:val="20"/>
          <w:lang w:val="fr-CA"/>
        </w:rPr>
        <w:t>humeur ou changements soudains de comportement.</w:t>
      </w:r>
    </w:p>
    <w:p w14:paraId="5A28AF95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Difficulté de concentration, confusion.</w:t>
      </w:r>
    </w:p>
    <w:p w14:paraId="65E4C576" w14:textId="77777777" w:rsidR="00443938" w:rsidRPr="00443938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Marche titubante.</w:t>
      </w:r>
    </w:p>
    <w:p w14:paraId="293FD32F" w14:textId="3CD434F4" w:rsidR="007400FF" w:rsidRDefault="00443938" w:rsidP="00625299">
      <w:pPr>
        <w:numPr>
          <w:ilvl w:val="0"/>
          <w:numId w:val="2"/>
        </w:numPr>
        <w:ind w:left="362" w:hanging="18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L</w:t>
      </w:r>
      <w:r w:rsidR="00625299">
        <w:rPr>
          <w:rFonts w:ascii="Arial" w:eastAsia="Calibri" w:hAnsi="Arial" w:cs="Arial"/>
          <w:sz w:val="20"/>
          <w:szCs w:val="20"/>
          <w:lang w:val="fr-CA"/>
        </w:rPr>
        <w:t>’</w:t>
      </w:r>
      <w:r>
        <w:rPr>
          <w:rFonts w:ascii="Arial" w:eastAsia="Calibri" w:hAnsi="Arial" w:cs="Arial"/>
          <w:sz w:val="20"/>
          <w:szCs w:val="20"/>
          <w:lang w:val="fr-CA"/>
        </w:rPr>
        <w:t>enfant peut se plaindre de :</w:t>
      </w:r>
    </w:p>
    <w:p w14:paraId="626FF908" w14:textId="3B438B32" w:rsidR="00443938" w:rsidRPr="00443938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nervosité,</w:t>
      </w:r>
    </w:p>
    <w:p w14:paraId="7CB18C9B" w14:textId="77777777" w:rsidR="00443938" w:rsidRPr="00443938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faim extrême,</w:t>
      </w:r>
    </w:p>
    <w:p w14:paraId="426C1B4E" w14:textId="77777777" w:rsidR="00443938" w:rsidRPr="00443938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mal de tête,</w:t>
      </w:r>
    </w:p>
    <w:p w14:paraId="4860690F" w14:textId="77777777" w:rsidR="00443938" w:rsidRPr="00443938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vision embrouillée,</w:t>
      </w:r>
    </w:p>
    <w:p w14:paraId="35AB499A" w14:textId="77777777" w:rsidR="00443938" w:rsidRPr="00443938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étourdissements,</w:t>
      </w:r>
    </w:p>
    <w:p w14:paraId="5168013C" w14:textId="77777777" w:rsidR="007400FF" w:rsidRDefault="00443938" w:rsidP="007400FF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27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douleur abdominale ou nausée.</w:t>
      </w:r>
    </w:p>
    <w:p w14:paraId="5D038C77" w14:textId="109579A2" w:rsidR="00443938" w:rsidRPr="006F5700" w:rsidRDefault="00443938" w:rsidP="007400FF">
      <w:pPr>
        <w:numPr>
          <w:ilvl w:val="0"/>
          <w:numId w:val="2"/>
        </w:numPr>
        <w:tabs>
          <w:tab w:val="clear" w:pos="360"/>
          <w:tab w:val="num" w:pos="450"/>
        </w:tabs>
        <w:spacing w:line="276" w:lineRule="auto"/>
        <w:ind w:hanging="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CA"/>
        </w:rPr>
        <w:t>Évanouissement, perte de connaissance</w:t>
      </w:r>
    </w:p>
    <w:p w14:paraId="6C3091A9" w14:textId="77777777" w:rsidR="00576CD3" w:rsidRDefault="00576CD3" w:rsidP="007400FF">
      <w:pPr>
        <w:rPr>
          <w:rFonts w:ascii="Arial" w:hAnsi="Arial" w:cs="Arial"/>
          <w:sz w:val="20"/>
          <w:szCs w:val="20"/>
          <w:u w:val="single"/>
        </w:rPr>
      </w:pPr>
    </w:p>
    <w:p w14:paraId="238955B3" w14:textId="0CBE171E" w:rsidR="007400FF" w:rsidRDefault="00BF1C8E" w:rsidP="007400F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lastRenderedPageBreak/>
        <w:t>Que faire en cas d</w:t>
      </w:r>
      <w:r w:rsidR="00625299">
        <w:rPr>
          <w:rFonts w:ascii="Arial" w:hAnsi="Arial" w:cs="Arial"/>
          <w:sz w:val="20"/>
          <w:szCs w:val="20"/>
          <w:u w:val="single"/>
          <w:lang w:val="fr-CA"/>
        </w:rPr>
        <w:t>’</w:t>
      </w:r>
      <w:r>
        <w:rPr>
          <w:rFonts w:ascii="Arial" w:hAnsi="Arial" w:cs="Arial"/>
          <w:sz w:val="20"/>
          <w:szCs w:val="20"/>
          <w:u w:val="single"/>
          <w:lang w:val="fr-CA"/>
        </w:rPr>
        <w:t>hypoglycémie</w:t>
      </w:r>
    </w:p>
    <w:p w14:paraId="0508BB5E" w14:textId="0096BB51" w:rsidR="007400FF" w:rsidRPr="005F3E1B" w:rsidRDefault="0048454D" w:rsidP="007400FF">
      <w:pPr>
        <w:numPr>
          <w:ilvl w:val="0"/>
          <w:numId w:val="24"/>
        </w:numPr>
        <w:tabs>
          <w:tab w:val="clear" w:pos="720"/>
          <w:tab w:val="num" w:pos="340"/>
        </w:tabs>
        <w:spacing w:before="60" w:line="276" w:lineRule="auto"/>
        <w:ind w:left="340" w:hanging="277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Vérifiez la glycémie de l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si un glycomètre est disponible et si le temps le permet.</w:t>
      </w:r>
    </w:p>
    <w:p w14:paraId="79DD5489" w14:textId="323C72C8" w:rsidR="0048454D" w:rsidRPr="005F3E1B" w:rsidRDefault="0048454D" w:rsidP="007400FF">
      <w:pPr>
        <w:numPr>
          <w:ilvl w:val="0"/>
          <w:numId w:val="24"/>
        </w:numPr>
        <w:tabs>
          <w:tab w:val="clear" w:pos="720"/>
          <w:tab w:val="num" w:pos="340"/>
        </w:tabs>
        <w:spacing w:line="276" w:lineRule="auto"/>
        <w:ind w:left="340" w:hanging="277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Si la glycémie est inférieure à 4 mmol/l* ou que l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présente des signes d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hypoglycémie, donnez-lui des sucres rapide</w:t>
      </w:r>
      <w:r w:rsidR="00625299">
        <w:rPr>
          <w:rFonts w:ascii="Arial" w:hAnsi="Arial"/>
          <w:sz w:val="20"/>
          <w:szCs w:val="20"/>
          <w:lang w:val="fr-CA"/>
        </w:rPr>
        <w:t>s</w:t>
      </w:r>
      <w:r>
        <w:rPr>
          <w:rFonts w:ascii="Arial" w:hAnsi="Arial"/>
          <w:sz w:val="20"/>
          <w:szCs w:val="20"/>
          <w:lang w:val="fr-CA"/>
        </w:rPr>
        <w:t>.</w:t>
      </w:r>
    </w:p>
    <w:p w14:paraId="3B00F2A6" w14:textId="512BCE30" w:rsidR="00576CD3" w:rsidRPr="005F3E1B" w:rsidRDefault="0048454D" w:rsidP="007400FF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 w:hanging="303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Attendez 15 minutes. S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il n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y a aucune amélioration, donnez-lui un</w:t>
      </w:r>
      <w:r w:rsidR="00625299">
        <w:rPr>
          <w:rFonts w:ascii="Arial" w:hAnsi="Arial"/>
          <w:sz w:val="20"/>
          <w:lang w:val="fr-CA"/>
        </w:rPr>
        <w:t>e</w:t>
      </w:r>
      <w:r>
        <w:rPr>
          <w:rFonts w:ascii="Arial" w:hAnsi="Arial"/>
          <w:sz w:val="20"/>
          <w:lang w:val="fr-CA"/>
        </w:rPr>
        <w:t xml:space="preserve"> 2</w:t>
      </w:r>
      <w:r>
        <w:rPr>
          <w:rFonts w:ascii="Arial" w:hAnsi="Arial"/>
          <w:sz w:val="20"/>
          <w:vertAlign w:val="superscript"/>
          <w:lang w:val="fr-CA"/>
        </w:rPr>
        <w:t>e </w:t>
      </w:r>
      <w:r w:rsidR="00625299">
        <w:rPr>
          <w:rFonts w:ascii="Arial" w:hAnsi="Arial"/>
          <w:sz w:val="20"/>
          <w:lang w:val="fr-CA"/>
        </w:rPr>
        <w:t>dose de s</w:t>
      </w:r>
      <w:r>
        <w:rPr>
          <w:rFonts w:ascii="Arial" w:hAnsi="Arial"/>
          <w:sz w:val="20"/>
          <w:lang w:val="fr-CA"/>
        </w:rPr>
        <w:t>ucre</w:t>
      </w:r>
      <w:r w:rsidR="00625299">
        <w:rPr>
          <w:rFonts w:ascii="Arial" w:hAnsi="Arial"/>
          <w:sz w:val="20"/>
          <w:lang w:val="fr-CA"/>
        </w:rPr>
        <w:t xml:space="preserve">s </w:t>
      </w:r>
      <w:r>
        <w:rPr>
          <w:rFonts w:ascii="Arial" w:hAnsi="Arial"/>
          <w:sz w:val="20"/>
          <w:lang w:val="fr-CA"/>
        </w:rPr>
        <w:t>rapide</w:t>
      </w:r>
      <w:r w:rsidR="00625299">
        <w:rPr>
          <w:rFonts w:ascii="Arial" w:hAnsi="Arial"/>
          <w:sz w:val="20"/>
          <w:lang w:val="fr-CA"/>
        </w:rPr>
        <w:t>s</w:t>
      </w:r>
      <w:r>
        <w:rPr>
          <w:rFonts w:ascii="Arial" w:hAnsi="Arial"/>
          <w:sz w:val="20"/>
          <w:lang w:val="fr-CA"/>
        </w:rPr>
        <w:t>.</w:t>
      </w:r>
    </w:p>
    <w:p w14:paraId="5B5FE41C" w14:textId="740DBCC2" w:rsidR="007400FF" w:rsidRPr="005F3E1B" w:rsidRDefault="00F3323B" w:rsidP="007400FF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 w:hanging="303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Attendez 15 minutes. S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il n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y a toujours pas d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amélioration, donnez un 3</w:t>
      </w:r>
      <w:r>
        <w:rPr>
          <w:rFonts w:ascii="Arial" w:hAnsi="Arial"/>
          <w:sz w:val="20"/>
          <w:vertAlign w:val="superscript"/>
          <w:lang w:val="fr-CA"/>
        </w:rPr>
        <w:t>e</w:t>
      </w:r>
      <w:r w:rsidR="00625299">
        <w:rPr>
          <w:rFonts w:ascii="Arial" w:hAnsi="Arial"/>
          <w:sz w:val="20"/>
          <w:lang w:val="fr-CA"/>
        </w:rPr>
        <w:t xml:space="preserve"> dose de sucres rapides </w:t>
      </w:r>
      <w:r>
        <w:rPr>
          <w:rFonts w:ascii="Arial" w:hAnsi="Arial"/>
          <w:sz w:val="20"/>
          <w:lang w:val="fr-CA"/>
        </w:rPr>
        <w:t>ET communiquez avec le parent/tuteur.</w:t>
      </w:r>
    </w:p>
    <w:p w14:paraId="224FD935" w14:textId="6BC91E7D" w:rsidR="0048454D" w:rsidRPr="005F3E1B" w:rsidRDefault="0048454D" w:rsidP="007400FF">
      <w:pPr>
        <w:pStyle w:val="BodyText"/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 w:hanging="303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Si vous n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arrivez pas à joindre le parent, le tuteur ou toute autre personne à contacter en cas d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urgence, composez le 911 ou le numéro des services d</w:t>
      </w:r>
      <w:r w:rsidR="00625299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urgence.</w:t>
      </w:r>
    </w:p>
    <w:p w14:paraId="6C4C84D1" w14:textId="77777777" w:rsidR="0048454D" w:rsidRPr="005F3E1B" w:rsidRDefault="0048454D" w:rsidP="007400FF">
      <w:pPr>
        <w:ind w:left="180"/>
        <w:rPr>
          <w:rFonts w:ascii="Arial" w:hAnsi="Arial" w:cs="Arial"/>
          <w:sz w:val="20"/>
          <w:szCs w:val="20"/>
          <w:lang w:val="fr-CA"/>
        </w:rPr>
      </w:pPr>
    </w:p>
    <w:p w14:paraId="217E9868" w14:textId="5484FF41" w:rsidR="007400FF" w:rsidRPr="005F3E1B" w:rsidRDefault="00BF1C8E" w:rsidP="007400FF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EN CAS DE DOUTE, FAITES LE TRAITEMENT! Après avoir administré le traitement contre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hypoglycémie, ne laissez pas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enfant seul pendant au moins 30 minutes.</w:t>
      </w:r>
    </w:p>
    <w:p w14:paraId="0DF967AB" w14:textId="08BEF9B7" w:rsidR="00BF1C8E" w:rsidRPr="005F3E1B" w:rsidRDefault="00BF1C8E" w:rsidP="007400FF">
      <w:pPr>
        <w:rPr>
          <w:rFonts w:ascii="Arial" w:hAnsi="Arial" w:cs="Arial"/>
          <w:b/>
          <w:sz w:val="20"/>
          <w:szCs w:val="20"/>
          <w:lang w:val="fr-CA"/>
        </w:rPr>
      </w:pPr>
    </w:p>
    <w:p w14:paraId="340AD201" w14:textId="77777777" w:rsidR="00BF1C8E" w:rsidRPr="005F3E1B" w:rsidRDefault="00BF1C8E" w:rsidP="007400FF">
      <w:pPr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t>Hypoglycémie grave</w:t>
      </w:r>
    </w:p>
    <w:p w14:paraId="1E2743C3" w14:textId="51C1A83E" w:rsidR="003F6985" w:rsidRPr="005F3E1B" w:rsidRDefault="00BF1C8E" w:rsidP="007400FF">
      <w:pPr>
        <w:spacing w:before="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Si sa glycémie baisse trop,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enfant peut voir son état s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aggraver jusqu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à avoir des convulsions ou perdre connaissance, ce qui constitue une situation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urgence.</w:t>
      </w:r>
    </w:p>
    <w:p w14:paraId="635F49AF" w14:textId="77777777" w:rsidR="003F6985" w:rsidRPr="005F3E1B" w:rsidRDefault="003F6985" w:rsidP="007400FF">
      <w:pPr>
        <w:rPr>
          <w:rFonts w:ascii="Arial" w:hAnsi="Arial" w:cs="Arial"/>
          <w:sz w:val="20"/>
          <w:szCs w:val="20"/>
          <w:lang w:val="fr-CA"/>
        </w:rPr>
      </w:pPr>
    </w:p>
    <w:p w14:paraId="599AA11B" w14:textId="2698A5D1" w:rsidR="003F6985" w:rsidRPr="005F3E1B" w:rsidRDefault="003F6985" w:rsidP="007400FF">
      <w:pPr>
        <w:pStyle w:val="BodyTex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 glucagon permet de traiter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hypoglycémie grave lorsque la glycémie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 xml:space="preserve">enfant est inférieure à 4 mmol/l </w:t>
      </w:r>
      <w:r>
        <w:rPr>
          <w:rFonts w:ascii="Arial" w:hAnsi="Arial" w:cs="Arial"/>
          <w:sz w:val="20"/>
          <w:u w:val="single"/>
          <w:lang w:val="fr-CA"/>
        </w:rPr>
        <w:t>et</w:t>
      </w:r>
      <w:r>
        <w:rPr>
          <w:rFonts w:ascii="Arial" w:hAnsi="Arial" w:cs="Arial"/>
          <w:sz w:val="20"/>
          <w:lang w:val="fr-CA"/>
        </w:rPr>
        <w:t xml:space="preserve"> que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est inconscient, 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 fait des convulsions ou 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 ne peut pas avaler ou ne veut pas le faire lorsqu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 xml:space="preserve">on </w:t>
      </w:r>
      <w:proofErr w:type="gramStart"/>
      <w:r>
        <w:rPr>
          <w:rFonts w:ascii="Arial" w:hAnsi="Arial" w:cs="Arial"/>
          <w:sz w:val="20"/>
          <w:lang w:val="fr-CA"/>
        </w:rPr>
        <w:t>lui le</w:t>
      </w:r>
      <w:proofErr w:type="gramEnd"/>
      <w:r>
        <w:rPr>
          <w:rFonts w:ascii="Arial" w:hAnsi="Arial" w:cs="Arial"/>
          <w:sz w:val="20"/>
          <w:lang w:val="fr-CA"/>
        </w:rPr>
        <w:t xml:space="preserve"> demande. Il peut être administré par injection (voie intramusculaire) ou par le nez (voie intranasale). Le personnel des programmes communautaires ne peut administrer le glucagon que par voie intranasale.</w:t>
      </w:r>
    </w:p>
    <w:p w14:paraId="1C235D2E" w14:textId="77777777" w:rsidR="003F6985" w:rsidRPr="005F3E1B" w:rsidRDefault="003F6985" w:rsidP="007400FF">
      <w:pPr>
        <w:pStyle w:val="BodyText"/>
        <w:rPr>
          <w:rFonts w:ascii="Arial" w:hAnsi="Arial" w:cs="Arial"/>
          <w:sz w:val="20"/>
          <w:highlight w:val="yellow"/>
          <w:lang w:val="fr-CA"/>
        </w:rPr>
      </w:pPr>
    </w:p>
    <w:p w14:paraId="52A26935" w14:textId="51715D84" w:rsidR="007400FF" w:rsidRPr="005F3E1B" w:rsidRDefault="003F6985" w:rsidP="007400FF">
      <w:pPr>
        <w:pStyle w:val="BodyText"/>
        <w:spacing w:before="6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La poudre pour administration nasale de glucagon Baqsimi™ est une pulvérisation sèche intranasale qui est maintenant offerte au Canada. Elle est contenue dans un tube sous pellicule plastique 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il ne faut pas ouvrir avant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être prêt à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utiliser. Si le tube a été ouvert, Baqsimi™ pourrait être exposé à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humidité, ce qui pourrait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empêcher de fonctionner comme prévu. Le produit peut être gardé à des températures allant jusqu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à 30 degrés Celsius. Il porte une date de péremption, indiquée sur le tube, et doit être remplacé une fois périmé. Il est sécuritaire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utiliser un BAQSIM™ périmé, mais peut-être pas efficace.</w:t>
      </w:r>
    </w:p>
    <w:p w14:paraId="73375D30" w14:textId="10A986BB" w:rsidR="00576CD3" w:rsidRPr="005F3E1B" w:rsidRDefault="00576CD3" w:rsidP="007400FF">
      <w:pPr>
        <w:pStyle w:val="BodyText"/>
        <w:spacing w:before="60"/>
        <w:rPr>
          <w:rFonts w:ascii="Arial" w:eastAsia="Arial,Bold" w:hAnsi="Arial" w:cs="Arial"/>
          <w:sz w:val="20"/>
          <w:lang w:val="fr-CA"/>
        </w:rPr>
      </w:pPr>
    </w:p>
    <w:p w14:paraId="2DFEFA0B" w14:textId="77777777" w:rsidR="003F6985" w:rsidRPr="0057010F" w:rsidRDefault="003F6985" w:rsidP="007400F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t xml:space="preserve">Comment utiliser </w:t>
      </w:r>
      <w:r>
        <w:rPr>
          <w:rFonts w:ascii="Arial" w:hAnsi="Arial" w:cs="Arial"/>
          <w:sz w:val="20"/>
          <w:u w:val="single"/>
          <w:lang w:val="fr-CA"/>
        </w:rPr>
        <w:t>Baqsimi™</w:t>
      </w:r>
    </w:p>
    <w:p w14:paraId="29CB385C" w14:textId="77777777" w:rsidR="003F6985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before="60" w:line="276" w:lineRule="auto"/>
        <w:ind w:left="270" w:hanging="270"/>
        <w:rPr>
          <w:rFonts w:ascii="Arial" w:eastAsia="Arial,Bold" w:hAnsi="Arial" w:cs="Arial"/>
          <w:sz w:val="20"/>
          <w:szCs w:val="20"/>
          <w:lang w:val="fr-CA"/>
        </w:rPr>
      </w:pPr>
      <w:r>
        <w:rPr>
          <w:rFonts w:ascii="Arial" w:eastAsia="Arial,Bold" w:hAnsi="Arial" w:cs="Arial"/>
          <w:sz w:val="20"/>
          <w:szCs w:val="20"/>
          <w:lang w:val="fr-CA"/>
        </w:rPr>
        <w:t>Retirez la pellicule plastique en tirant sur la bande rouge.</w:t>
      </w:r>
    </w:p>
    <w:p w14:paraId="743DFC62" w14:textId="77777777" w:rsidR="003F6985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line="276" w:lineRule="auto"/>
        <w:ind w:left="270" w:hanging="270"/>
        <w:rPr>
          <w:rFonts w:ascii="Arial" w:eastAsia="Arial,Bold" w:hAnsi="Arial" w:cs="Arial"/>
          <w:sz w:val="20"/>
          <w:szCs w:val="20"/>
          <w:lang w:val="fr-CA"/>
        </w:rPr>
      </w:pPr>
      <w:r>
        <w:rPr>
          <w:rFonts w:ascii="Arial" w:eastAsia="Arial,Bold" w:hAnsi="Arial" w:cs="Arial"/>
          <w:sz w:val="20"/>
          <w:szCs w:val="20"/>
          <w:lang w:val="fr-CA"/>
        </w:rPr>
        <w:t>Ouvrez le couvercle et retirez le dispositif du tube.</w:t>
      </w:r>
    </w:p>
    <w:p w14:paraId="09082913" w14:textId="53073165" w:rsidR="003F6985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line="276" w:lineRule="auto"/>
        <w:ind w:left="270" w:hanging="270"/>
        <w:rPr>
          <w:rFonts w:ascii="Arial" w:eastAsia="Arial,Bold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lastRenderedPageBreak/>
        <w:t>Tenez le dispositif entre les doigts et le pouce. N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appuyez pas encore sur le piston.</w:t>
      </w:r>
    </w:p>
    <w:p w14:paraId="191C7FEB" w14:textId="057892F2" w:rsidR="003F6985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line="276" w:lineRule="auto"/>
        <w:ind w:left="270" w:hanging="270"/>
        <w:rPr>
          <w:rFonts w:ascii="Arial" w:eastAsia="Arial,Bold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Insérez la tige doucement dans une narine jusqu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à ce que vos doigts touchent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extérieur du nez.</w:t>
      </w:r>
    </w:p>
    <w:p w14:paraId="28A130B1" w14:textId="0E87DB97" w:rsidR="007400FF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Appuyez fermement sur le piston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en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enfonçant complètement. La dose est donnée lorsque la ligne verte n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est plus visible.</w:t>
      </w:r>
    </w:p>
    <w:p w14:paraId="1A996DD3" w14:textId="5147F3F6" w:rsidR="003F6985" w:rsidRPr="005F3E1B" w:rsidRDefault="003F6985" w:rsidP="007400FF">
      <w:pPr>
        <w:pStyle w:val="ListParagraph"/>
        <w:numPr>
          <w:ilvl w:val="0"/>
          <w:numId w:val="31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Jetez le dispositif et le tube ou remettez-le au personnel du service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urgence.</w:t>
      </w:r>
    </w:p>
    <w:p w14:paraId="0B1701E9" w14:textId="5D1C730D" w:rsidR="003F6985" w:rsidRPr="005F3E1B" w:rsidRDefault="003F6985" w:rsidP="007400FF">
      <w:pPr>
        <w:rPr>
          <w:sz w:val="20"/>
          <w:szCs w:val="20"/>
          <w:lang w:val="fr-CA"/>
        </w:rPr>
      </w:pPr>
    </w:p>
    <w:p w14:paraId="0CB0FB59" w14:textId="1C60AFD7" w:rsidR="003F6985" w:rsidRPr="005F3E1B" w:rsidRDefault="005245BF" w:rsidP="007400FF">
      <w:pPr>
        <w:pStyle w:val="BodyText"/>
        <w:spacing w:before="60"/>
        <w:rPr>
          <w:rFonts w:ascii="Arial" w:hAnsi="Arial" w:cs="Arial"/>
          <w:sz w:val="20"/>
          <w:u w:val="single"/>
          <w:lang w:val="fr-CA"/>
        </w:rPr>
      </w:pPr>
      <w:r>
        <w:rPr>
          <w:rFonts w:ascii="Arial" w:hAnsi="Arial" w:cs="Arial"/>
          <w:sz w:val="20"/>
          <w:u w:val="single"/>
          <w:lang w:val="fr-CA"/>
        </w:rPr>
        <w:t>Que faire en cas d</w:t>
      </w:r>
      <w:r w:rsidR="00625299">
        <w:rPr>
          <w:rFonts w:ascii="Arial" w:hAnsi="Arial" w:cs="Arial"/>
          <w:sz w:val="20"/>
          <w:u w:val="single"/>
          <w:lang w:val="fr-CA"/>
        </w:rPr>
        <w:t>’</w:t>
      </w:r>
      <w:r>
        <w:rPr>
          <w:rFonts w:ascii="Arial" w:hAnsi="Arial" w:cs="Arial"/>
          <w:sz w:val="20"/>
          <w:u w:val="single"/>
          <w:lang w:val="fr-CA"/>
        </w:rPr>
        <w:t>hypoglycémie grave</w:t>
      </w:r>
    </w:p>
    <w:p w14:paraId="7CA7458B" w14:textId="0E1A96E3" w:rsidR="00576CD3" w:rsidRPr="005F3E1B" w:rsidRDefault="00625299" w:rsidP="007400FF">
      <w:pPr>
        <w:pStyle w:val="BodyText"/>
        <w:numPr>
          <w:ilvl w:val="0"/>
          <w:numId w:val="32"/>
        </w:numPr>
        <w:tabs>
          <w:tab w:val="left" w:pos="270"/>
        </w:tabs>
        <w:spacing w:before="60" w:line="276" w:lineRule="auto"/>
        <w:ind w:left="270" w:hanging="27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Allongez</w:t>
      </w:r>
      <w:r w:rsidR="00576CD3">
        <w:rPr>
          <w:rFonts w:ascii="Arial" w:hAnsi="Arial" w:cs="Arial"/>
          <w:sz w:val="20"/>
          <w:lang w:val="fr-CA"/>
        </w:rPr>
        <w:t xml:space="preserve"> l</w:t>
      </w:r>
      <w:r>
        <w:rPr>
          <w:rFonts w:ascii="Arial" w:hAnsi="Arial" w:cs="Arial"/>
          <w:sz w:val="20"/>
          <w:lang w:val="fr-CA"/>
        </w:rPr>
        <w:t>’</w:t>
      </w:r>
      <w:r w:rsidR="00576CD3">
        <w:rPr>
          <w:rFonts w:ascii="Arial" w:hAnsi="Arial" w:cs="Arial"/>
          <w:sz w:val="20"/>
          <w:lang w:val="fr-CA"/>
        </w:rPr>
        <w:t xml:space="preserve">enfant </w:t>
      </w:r>
      <w:r>
        <w:rPr>
          <w:rFonts w:ascii="Arial" w:hAnsi="Arial" w:cs="Arial"/>
          <w:sz w:val="20"/>
          <w:lang w:val="fr-CA"/>
        </w:rPr>
        <w:t>au</w:t>
      </w:r>
      <w:r w:rsidR="00576CD3">
        <w:rPr>
          <w:rFonts w:ascii="Arial" w:hAnsi="Arial" w:cs="Arial"/>
          <w:sz w:val="20"/>
          <w:lang w:val="fr-CA"/>
        </w:rPr>
        <w:t xml:space="preserve"> sol sur le côté.</w:t>
      </w:r>
    </w:p>
    <w:p w14:paraId="0C228F78" w14:textId="77777777" w:rsidR="007400FF" w:rsidRDefault="00576CD3" w:rsidP="007400FF">
      <w:pPr>
        <w:pStyle w:val="BodyText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Administrez Baqsimi™, si disponible.</w:t>
      </w:r>
    </w:p>
    <w:p w14:paraId="52444BD0" w14:textId="09E8EBED" w:rsidR="0048454D" w:rsidRPr="005F3E1B" w:rsidRDefault="0048454D" w:rsidP="007400FF">
      <w:pPr>
        <w:pStyle w:val="BodyText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Composez le 911 ou le numéro des services médicaux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urgence.</w:t>
      </w:r>
    </w:p>
    <w:p w14:paraId="211D521E" w14:textId="34366DD6" w:rsidR="003F6985" w:rsidRPr="005F3E1B" w:rsidRDefault="003F6985" w:rsidP="007400FF">
      <w:pPr>
        <w:pStyle w:val="BodyText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Communiquez avec le parent ou tuteur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enfant.</w:t>
      </w:r>
    </w:p>
    <w:p w14:paraId="7CE3FD6B" w14:textId="121A4F90" w:rsidR="003F6985" w:rsidRPr="005F3E1B" w:rsidRDefault="003F6985" w:rsidP="007400FF">
      <w:pPr>
        <w:pStyle w:val="BodyText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Si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présente toujours des signes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hypoglycémie grave après 15 minutes, une deuxième dose de Baqsimi™ peut lui être administrée, si elle est disponible.</w:t>
      </w:r>
    </w:p>
    <w:p w14:paraId="073A2B48" w14:textId="7F9914C0" w:rsidR="007400FF" w:rsidRPr="005F3E1B" w:rsidRDefault="003F6985" w:rsidP="007400FF">
      <w:pPr>
        <w:pStyle w:val="BodyText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Restez avec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enfant jusqu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à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arrivée des intervenants du service médical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urgence.</w:t>
      </w:r>
    </w:p>
    <w:p w14:paraId="21337535" w14:textId="77777777" w:rsidR="007400FF" w:rsidRPr="005F3E1B" w:rsidRDefault="003F6985" w:rsidP="007400FF">
      <w:pPr>
        <w:pStyle w:val="ListParagraph"/>
        <w:spacing w:before="60"/>
        <w:ind w:left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Ne donnez pas de nourriture ou de liquide à un enfant qui a perdu connaissance, fait des convulsions ou ne peut pas avaler.</w:t>
      </w:r>
    </w:p>
    <w:p w14:paraId="15188C51" w14:textId="5D9B12F7" w:rsidR="00E35864" w:rsidRPr="005F3E1B" w:rsidRDefault="00E35864" w:rsidP="007400FF">
      <w:pPr>
        <w:pStyle w:val="Heading3"/>
        <w:keepNext w:val="0"/>
        <w:rPr>
          <w:rFonts w:cs="Arial"/>
          <w:szCs w:val="24"/>
          <w:lang w:val="fr-CA"/>
        </w:rPr>
      </w:pPr>
    </w:p>
    <w:p w14:paraId="40710C5D" w14:textId="77777777" w:rsidR="007400FF" w:rsidRPr="005F3E1B" w:rsidRDefault="00BF1C8E" w:rsidP="007400FF">
      <w:pPr>
        <w:pStyle w:val="Heading3"/>
        <w:keepNext w:val="0"/>
        <w:rPr>
          <w:rFonts w:cs="Arial"/>
          <w:szCs w:val="24"/>
          <w:lang w:val="fr-CA"/>
        </w:rPr>
      </w:pPr>
      <w:r>
        <w:rPr>
          <w:rFonts w:cs="Arial"/>
          <w:bCs/>
          <w:szCs w:val="24"/>
          <w:lang w:val="fr-CA"/>
        </w:rPr>
        <w:t>Hyperglycémie</w:t>
      </w:r>
    </w:p>
    <w:p w14:paraId="60A4F09B" w14:textId="4D6E2BA3" w:rsidR="007400FF" w:rsidRPr="005F3E1B" w:rsidRDefault="00BF1C8E" w:rsidP="007400FF">
      <w:pPr>
        <w:spacing w:before="6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hyperglycémie se produit lorsque le taux de glucose dans le sang dépasse la fourchette établie pour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enfant. En général,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hyperglycémie ne constitue pas une situation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urgence et n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exige pas un traitement immédiat.</w:t>
      </w:r>
    </w:p>
    <w:p w14:paraId="74272FC8" w14:textId="4E24462C" w:rsidR="00E35864" w:rsidRPr="005F3E1B" w:rsidRDefault="00E35864" w:rsidP="007400FF">
      <w:pPr>
        <w:rPr>
          <w:rFonts w:ascii="Arial" w:hAnsi="Arial" w:cs="Arial"/>
          <w:sz w:val="20"/>
          <w:szCs w:val="20"/>
          <w:lang w:val="fr-CA"/>
        </w:rPr>
      </w:pPr>
    </w:p>
    <w:p w14:paraId="1E60F635" w14:textId="7F3787D8" w:rsidR="00AB1FB2" w:rsidRPr="005F3E1B" w:rsidRDefault="00BF1C8E" w:rsidP="007400FF">
      <w:pPr>
        <w:pStyle w:val="BodyTex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hyperglycémie découle souvent de l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un ou de plusieurs des facteurs suivants :</w:t>
      </w:r>
    </w:p>
    <w:p w14:paraId="08D20E1F" w14:textId="4E449AFA" w:rsidR="00AB1FB2" w:rsidRDefault="00AB1FB2" w:rsidP="007400FF">
      <w:pPr>
        <w:pStyle w:val="BodyText"/>
        <w:numPr>
          <w:ilvl w:val="0"/>
          <w:numId w:val="28"/>
        </w:numPr>
        <w:spacing w:line="276" w:lineRule="auto"/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pas assez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insuline;</w:t>
      </w:r>
    </w:p>
    <w:p w14:paraId="7D747DF2" w14:textId="77777777" w:rsidR="00AB1FB2" w:rsidRDefault="00BF1C8E" w:rsidP="007400FF">
      <w:pPr>
        <w:pStyle w:val="BodyText"/>
        <w:numPr>
          <w:ilvl w:val="0"/>
          <w:numId w:val="28"/>
        </w:numPr>
        <w:spacing w:line="276" w:lineRule="auto"/>
        <w:ind w:left="3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>trop de nourriture;</w:t>
      </w:r>
    </w:p>
    <w:p w14:paraId="7910A013" w14:textId="04A7D448" w:rsidR="00AB1FB2" w:rsidRPr="005F3E1B" w:rsidRDefault="00BF1C8E" w:rsidP="007400FF">
      <w:pPr>
        <w:pStyle w:val="BodyText"/>
        <w:numPr>
          <w:ilvl w:val="0"/>
          <w:numId w:val="28"/>
        </w:numPr>
        <w:spacing w:line="276" w:lineRule="auto"/>
        <w:ind w:left="360" w:hanging="18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moins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activité physique que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habitude;</w:t>
      </w:r>
    </w:p>
    <w:p w14:paraId="0DDA0027" w14:textId="77777777" w:rsidR="00BF1C8E" w:rsidRPr="005F3E1B" w:rsidRDefault="00BF1C8E" w:rsidP="007400FF">
      <w:pPr>
        <w:pStyle w:val="BodyText"/>
        <w:numPr>
          <w:ilvl w:val="0"/>
          <w:numId w:val="28"/>
        </w:numPr>
        <w:spacing w:line="276" w:lineRule="auto"/>
        <w:ind w:left="360" w:hanging="18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une maladie ou le stress.</w:t>
      </w:r>
    </w:p>
    <w:p w14:paraId="7F448665" w14:textId="77777777" w:rsidR="00BF1C8E" w:rsidRPr="005F3E1B" w:rsidRDefault="00BF1C8E" w:rsidP="007400FF">
      <w:pPr>
        <w:ind w:left="360" w:hanging="180"/>
        <w:rPr>
          <w:rFonts w:ascii="Arial" w:hAnsi="Arial" w:cs="Arial"/>
          <w:sz w:val="20"/>
          <w:szCs w:val="20"/>
          <w:lang w:val="fr-CA"/>
        </w:rPr>
      </w:pPr>
    </w:p>
    <w:p w14:paraId="02E4D3AC" w14:textId="3AEFECDA" w:rsidR="00BF1C8E" w:rsidRPr="005F3E1B" w:rsidRDefault="00BF1C8E" w:rsidP="007400FF">
      <w:pPr>
        <w:pStyle w:val="BodyText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Les symptômes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hyperglycémie sont notamment une augmentation de la soif, la fatigue et le besoin d</w:t>
      </w:r>
      <w:r w:rsidR="00625299">
        <w:rPr>
          <w:rFonts w:ascii="Arial" w:hAnsi="Arial" w:cs="Arial"/>
          <w:sz w:val="20"/>
          <w:lang w:val="fr-CA"/>
        </w:rPr>
        <w:t>’</w:t>
      </w:r>
      <w:r>
        <w:rPr>
          <w:rFonts w:ascii="Arial" w:hAnsi="Arial" w:cs="Arial"/>
          <w:sz w:val="20"/>
          <w:lang w:val="fr-CA"/>
        </w:rPr>
        <w:t>uriner plus fréquemment.</w:t>
      </w:r>
    </w:p>
    <w:p w14:paraId="1F990E15" w14:textId="77777777" w:rsidR="00BF1C8E" w:rsidRPr="005F3E1B" w:rsidRDefault="00BF1C8E" w:rsidP="007400FF">
      <w:pPr>
        <w:ind w:left="360"/>
        <w:rPr>
          <w:rFonts w:ascii="Arial" w:hAnsi="Arial" w:cs="Arial"/>
          <w:sz w:val="20"/>
          <w:szCs w:val="20"/>
          <w:lang w:val="fr-CA"/>
        </w:rPr>
      </w:pPr>
    </w:p>
    <w:p w14:paraId="4DBDEFA2" w14:textId="37FA678E" w:rsidR="00BF1C8E" w:rsidRPr="00AB1FB2" w:rsidRDefault="00BF1C8E" w:rsidP="007400FF">
      <w:pPr>
        <w:pStyle w:val="Heading3"/>
        <w:keepNext w:val="0"/>
        <w:rPr>
          <w:rFonts w:cs="Arial"/>
          <w:b w:val="0"/>
          <w:sz w:val="20"/>
          <w:u w:val="single"/>
        </w:rPr>
      </w:pPr>
      <w:r>
        <w:rPr>
          <w:rFonts w:cs="Arial"/>
          <w:b w:val="0"/>
          <w:sz w:val="20"/>
          <w:u w:val="single"/>
          <w:lang w:val="fr-CA"/>
        </w:rPr>
        <w:t>Que faire en cas d</w:t>
      </w:r>
      <w:r w:rsidR="00625299">
        <w:rPr>
          <w:rFonts w:cs="Arial"/>
          <w:b w:val="0"/>
          <w:sz w:val="20"/>
          <w:u w:val="single"/>
          <w:lang w:val="fr-CA"/>
        </w:rPr>
        <w:t>’</w:t>
      </w:r>
      <w:r>
        <w:rPr>
          <w:rFonts w:cs="Arial"/>
          <w:b w:val="0"/>
          <w:sz w:val="20"/>
          <w:u w:val="single"/>
          <w:lang w:val="fr-CA"/>
        </w:rPr>
        <w:t>hyperglycémie</w:t>
      </w:r>
    </w:p>
    <w:p w14:paraId="0B90B80E" w14:textId="30237963" w:rsidR="007400FF" w:rsidRPr="005F3E1B" w:rsidRDefault="00BF1C8E" w:rsidP="007400FF">
      <w:pPr>
        <w:numPr>
          <w:ilvl w:val="0"/>
          <w:numId w:val="26"/>
        </w:numPr>
        <w:spacing w:before="60"/>
        <w:ind w:left="270" w:hanging="270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Vérifiez la glycémie de l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si un glycomètre est disponible.</w:t>
      </w:r>
    </w:p>
    <w:p w14:paraId="0D00959C" w14:textId="036C50EB" w:rsidR="00BF1C8E" w:rsidRPr="005F3E1B" w:rsidRDefault="00BF1C8E" w:rsidP="007400FF">
      <w:pPr>
        <w:numPr>
          <w:ilvl w:val="0"/>
          <w:numId w:val="26"/>
        </w:numPr>
        <w:spacing w:before="60"/>
        <w:ind w:left="270" w:hanging="270"/>
        <w:rPr>
          <w:rFonts w:ascii="Arial" w:hAnsi="Arial"/>
          <w:sz w:val="20"/>
          <w:szCs w:val="20"/>
          <w:lang w:val="fr-CA"/>
        </w:rPr>
      </w:pPr>
      <w:r>
        <w:rPr>
          <w:rFonts w:ascii="Arial" w:hAnsi="Arial"/>
          <w:sz w:val="20"/>
          <w:szCs w:val="20"/>
          <w:lang w:val="fr-CA"/>
        </w:rPr>
        <w:t>Informez le parent ou le tuteur si le taux est supérieur à la fourchette établie pour l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 (selon les chiffres indiqués dans le plan de soins de l</w:t>
      </w:r>
      <w:r w:rsidR="00625299">
        <w:rPr>
          <w:rFonts w:ascii="Arial" w:hAnsi="Arial"/>
          <w:sz w:val="20"/>
          <w:szCs w:val="20"/>
          <w:lang w:val="fr-CA"/>
        </w:rPr>
        <w:t>’</w:t>
      </w:r>
      <w:r>
        <w:rPr>
          <w:rFonts w:ascii="Arial" w:hAnsi="Arial"/>
          <w:sz w:val="20"/>
          <w:szCs w:val="20"/>
          <w:lang w:val="fr-CA"/>
        </w:rPr>
        <w:t>enfant).</w:t>
      </w:r>
    </w:p>
    <w:p w14:paraId="6A782CFA" w14:textId="77777777" w:rsidR="00BF1C8E" w:rsidRPr="005F3E1B" w:rsidRDefault="00BF1C8E" w:rsidP="007400FF">
      <w:pPr>
        <w:spacing w:before="60"/>
        <w:ind w:left="383"/>
        <w:rPr>
          <w:rFonts w:ascii="Arial" w:hAnsi="Arial"/>
          <w:sz w:val="10"/>
          <w:szCs w:val="10"/>
          <w:lang w:val="fr-CA"/>
        </w:rPr>
      </w:pPr>
    </w:p>
    <w:p w14:paraId="1F627293" w14:textId="49486805" w:rsidR="00BF1C8E" w:rsidRPr="005F3E1B" w:rsidRDefault="00BF1C8E" w:rsidP="007400FF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enfant doit avoir libre accès à l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eau ou à d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autres liquides sans sucre, ainsi qu</w:t>
      </w:r>
      <w:r w:rsidR="00625299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aux toilettes.</w:t>
      </w:r>
    </w:p>
    <w:sectPr w:rsidR="00BF1C8E" w:rsidRPr="005F3E1B" w:rsidSect="005245BF">
      <w:type w:val="continuous"/>
      <w:pgSz w:w="12240" w:h="15840"/>
      <w:pgMar w:top="1080" w:right="1041" w:bottom="540" w:left="1276" w:header="360" w:footer="720" w:gutter="0"/>
      <w:cols w:num="2" w:space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74479" w14:textId="77777777" w:rsidR="00557AA2" w:rsidRDefault="00557AA2">
      <w:r>
        <w:separator/>
      </w:r>
    </w:p>
  </w:endnote>
  <w:endnote w:type="continuationSeparator" w:id="0">
    <w:p w14:paraId="4CEA215F" w14:textId="77777777" w:rsidR="00557AA2" w:rsidRDefault="005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9864" w14:textId="41D28C2C" w:rsidR="00BF1C8E" w:rsidRPr="00793D98" w:rsidRDefault="00E35864" w:rsidP="005245B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2020-09-09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9FCA" w14:textId="77777777" w:rsidR="00557AA2" w:rsidRDefault="00557AA2">
      <w:r>
        <w:separator/>
      </w:r>
    </w:p>
  </w:footnote>
  <w:footnote w:type="continuationSeparator" w:id="0">
    <w:p w14:paraId="3055B1A7" w14:textId="77777777" w:rsidR="00557AA2" w:rsidRDefault="0055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8CBB" w14:textId="6CEFC742" w:rsidR="00BF1C8E" w:rsidRDefault="00AB1FB2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77B537F7" wp14:editId="7E310872">
          <wp:extent cx="1143000" cy="342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273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A24541"/>
    <w:multiLevelType w:val="hybridMultilevel"/>
    <w:tmpl w:val="A8122B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E359A"/>
    <w:multiLevelType w:val="hybridMultilevel"/>
    <w:tmpl w:val="3D84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95634"/>
    <w:multiLevelType w:val="singleLevel"/>
    <w:tmpl w:val="E7E0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556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FA5B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CD23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74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46FE3"/>
    <w:multiLevelType w:val="hybridMultilevel"/>
    <w:tmpl w:val="4368830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BE075F"/>
    <w:multiLevelType w:val="hybridMultilevel"/>
    <w:tmpl w:val="0764D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22F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3312A0"/>
    <w:multiLevelType w:val="singleLevel"/>
    <w:tmpl w:val="49E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463A5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2A0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92225A"/>
    <w:multiLevelType w:val="hybridMultilevel"/>
    <w:tmpl w:val="F0CA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F3B02"/>
    <w:multiLevelType w:val="hybridMultilevel"/>
    <w:tmpl w:val="D8E44F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83D5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531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F281B"/>
    <w:multiLevelType w:val="hybridMultilevel"/>
    <w:tmpl w:val="20D0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765A49"/>
    <w:multiLevelType w:val="hybridMultilevel"/>
    <w:tmpl w:val="E790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27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D2592E"/>
    <w:multiLevelType w:val="hybridMultilevel"/>
    <w:tmpl w:val="0B1A418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5D431FB"/>
    <w:multiLevelType w:val="hybridMultilevel"/>
    <w:tmpl w:val="3454D1F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8D04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956140"/>
    <w:multiLevelType w:val="hybridMultilevel"/>
    <w:tmpl w:val="32B0FFE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11B6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A990FF1"/>
    <w:multiLevelType w:val="hybridMultilevel"/>
    <w:tmpl w:val="FC2E2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074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7D4A5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5"/>
  </w:num>
  <w:num w:numId="5">
    <w:abstractNumId w:val="8"/>
  </w:num>
  <w:num w:numId="6">
    <w:abstractNumId w:val="20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30"/>
  </w:num>
  <w:num w:numId="15">
    <w:abstractNumId w:val="0"/>
  </w:num>
  <w:num w:numId="16">
    <w:abstractNumId w:val="33"/>
  </w:num>
  <w:num w:numId="17">
    <w:abstractNumId w:val="23"/>
  </w:num>
  <w:num w:numId="18">
    <w:abstractNumId w:val="26"/>
  </w:num>
  <w:num w:numId="19">
    <w:abstractNumId w:val="16"/>
  </w:num>
  <w:num w:numId="20">
    <w:abstractNumId w:val="21"/>
  </w:num>
  <w:num w:numId="21">
    <w:abstractNumId w:val="28"/>
  </w:num>
  <w:num w:numId="22">
    <w:abstractNumId w:val="4"/>
  </w:num>
  <w:num w:numId="23">
    <w:abstractNumId w:val="19"/>
  </w:num>
  <w:num w:numId="24">
    <w:abstractNumId w:val="32"/>
  </w:num>
  <w:num w:numId="25">
    <w:abstractNumId w:val="10"/>
  </w:num>
  <w:num w:numId="26">
    <w:abstractNumId w:val="3"/>
  </w:num>
  <w:num w:numId="27">
    <w:abstractNumId w:val="1"/>
  </w:num>
  <w:num w:numId="28">
    <w:abstractNumId w:val="25"/>
  </w:num>
  <w:num w:numId="29">
    <w:abstractNumId w:val="24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9"/>
    <w:rsid w:val="00040B3C"/>
    <w:rsid w:val="00047537"/>
    <w:rsid w:val="0009550F"/>
    <w:rsid w:val="000D0944"/>
    <w:rsid w:val="000F2976"/>
    <w:rsid w:val="000F3E13"/>
    <w:rsid w:val="001020E4"/>
    <w:rsid w:val="001424B1"/>
    <w:rsid w:val="00153E8D"/>
    <w:rsid w:val="00156658"/>
    <w:rsid w:val="001A6F32"/>
    <w:rsid w:val="001E1A5B"/>
    <w:rsid w:val="001F354D"/>
    <w:rsid w:val="00212770"/>
    <w:rsid w:val="00352A74"/>
    <w:rsid w:val="00360528"/>
    <w:rsid w:val="003605BF"/>
    <w:rsid w:val="003850CF"/>
    <w:rsid w:val="003C12EC"/>
    <w:rsid w:val="003C4669"/>
    <w:rsid w:val="003E6B00"/>
    <w:rsid w:val="003F6985"/>
    <w:rsid w:val="00430989"/>
    <w:rsid w:val="00443938"/>
    <w:rsid w:val="0048454D"/>
    <w:rsid w:val="005245BF"/>
    <w:rsid w:val="005245E1"/>
    <w:rsid w:val="00557AA2"/>
    <w:rsid w:val="00567E53"/>
    <w:rsid w:val="0057010F"/>
    <w:rsid w:val="00576CD3"/>
    <w:rsid w:val="005824F7"/>
    <w:rsid w:val="005839B0"/>
    <w:rsid w:val="005C614E"/>
    <w:rsid w:val="005F3E1B"/>
    <w:rsid w:val="0060043F"/>
    <w:rsid w:val="00600D6C"/>
    <w:rsid w:val="00601CE8"/>
    <w:rsid w:val="00625299"/>
    <w:rsid w:val="00654CAB"/>
    <w:rsid w:val="006612CB"/>
    <w:rsid w:val="006D5DC9"/>
    <w:rsid w:val="006F438E"/>
    <w:rsid w:val="006F5700"/>
    <w:rsid w:val="00712F6D"/>
    <w:rsid w:val="0072207D"/>
    <w:rsid w:val="007400FF"/>
    <w:rsid w:val="00793D98"/>
    <w:rsid w:val="00812903"/>
    <w:rsid w:val="00842436"/>
    <w:rsid w:val="008D500F"/>
    <w:rsid w:val="008F228E"/>
    <w:rsid w:val="009122BD"/>
    <w:rsid w:val="00913EA5"/>
    <w:rsid w:val="00973284"/>
    <w:rsid w:val="00976B37"/>
    <w:rsid w:val="009C5F85"/>
    <w:rsid w:val="009E6F74"/>
    <w:rsid w:val="00AB1FB2"/>
    <w:rsid w:val="00B42B76"/>
    <w:rsid w:val="00B50839"/>
    <w:rsid w:val="00BF1C8E"/>
    <w:rsid w:val="00C01EF6"/>
    <w:rsid w:val="00C01FE9"/>
    <w:rsid w:val="00C14D5A"/>
    <w:rsid w:val="00C6496A"/>
    <w:rsid w:val="00C854E3"/>
    <w:rsid w:val="00CA267A"/>
    <w:rsid w:val="00CC58B0"/>
    <w:rsid w:val="00D06F22"/>
    <w:rsid w:val="00D91F90"/>
    <w:rsid w:val="00DB02EE"/>
    <w:rsid w:val="00E35864"/>
    <w:rsid w:val="00E622C7"/>
    <w:rsid w:val="00E81248"/>
    <w:rsid w:val="00EA0E70"/>
    <w:rsid w:val="00EE218C"/>
    <w:rsid w:val="00EE60BF"/>
    <w:rsid w:val="00F053CF"/>
    <w:rsid w:val="00F0633A"/>
    <w:rsid w:val="00F2214B"/>
    <w:rsid w:val="00F3323B"/>
    <w:rsid w:val="00F5626D"/>
    <w:rsid w:val="00FA0A0B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B56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F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F6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F6D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B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B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12F6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E70"/>
    <w:rPr>
      <w:rFonts w:cs="Times New Roman"/>
      <w:sz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semiHidden/>
    <w:rsid w:val="00712F6D"/>
    <w:pPr>
      <w:tabs>
        <w:tab w:val="left" w:pos="1440"/>
        <w:tab w:val="left" w:pos="3762"/>
        <w:tab w:val="left" w:pos="3942"/>
      </w:tabs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uiPriority w:val="99"/>
    <w:rsid w:val="00712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F6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D98"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12F6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1B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0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E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40B3C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3F698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F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F6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F6D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B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B9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12F6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E70"/>
    <w:rPr>
      <w:rFonts w:cs="Times New Roman"/>
      <w:sz w:val="24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semiHidden/>
    <w:rsid w:val="00712F6D"/>
    <w:pPr>
      <w:tabs>
        <w:tab w:val="left" w:pos="1440"/>
        <w:tab w:val="left" w:pos="3762"/>
        <w:tab w:val="left" w:pos="3942"/>
      </w:tabs>
    </w:pPr>
    <w:rPr>
      <w:rFonts w:ascii="Arial" w:hAnsi="Arial"/>
      <w:b/>
      <w:szCs w:val="20"/>
    </w:rPr>
  </w:style>
  <w:style w:type="character" w:styleId="PageNumber">
    <w:name w:val="page number"/>
    <w:basedOn w:val="DefaultParagraphFont"/>
    <w:uiPriority w:val="99"/>
    <w:rsid w:val="00712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F6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D98"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12F6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1B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0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E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40B3C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3F69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</vt:lpstr>
    </vt:vector>
  </TitlesOfParts>
  <Company>WRHA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</dc:title>
  <dc:creator>SDalke</dc:creator>
  <cp:lastModifiedBy>Sandra Dalke</cp:lastModifiedBy>
  <cp:revision>2</cp:revision>
  <dcterms:created xsi:type="dcterms:W3CDTF">2021-03-24T18:19:00Z</dcterms:created>
  <dcterms:modified xsi:type="dcterms:W3CDTF">2021-03-24T18:19:00Z</dcterms:modified>
</cp:coreProperties>
</file>