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ayout w:type="fixed"/>
        <w:tblCellMar>
          <w:left w:w="115" w:type="dxa"/>
          <w:right w:w="115" w:type="dxa"/>
        </w:tblCellMar>
        <w:tblLook w:val="04A0"/>
      </w:tblPr>
      <w:tblGrid>
        <w:gridCol w:w="812"/>
        <w:gridCol w:w="1747"/>
        <w:gridCol w:w="3028"/>
        <w:gridCol w:w="3259"/>
        <w:gridCol w:w="87"/>
        <w:gridCol w:w="1429"/>
        <w:gridCol w:w="8588"/>
      </w:tblGrid>
      <w:tr w:rsidR="007D5351" w:rsidTr="009529E3">
        <w:tc>
          <w:tcPr>
            <w:tcW w:w="5000" w:type="pct"/>
            <w:gridSpan w:val="7"/>
            <w:tcBorders>
              <w:top w:val="single" w:sz="24" w:space="0" w:color="auto"/>
              <w:left w:val="single" w:sz="24" w:space="0" w:color="auto"/>
              <w:bottom w:val="single" w:sz="24" w:space="0" w:color="auto"/>
              <w:right w:val="single" w:sz="24" w:space="0" w:color="auto"/>
            </w:tcBorders>
          </w:tcPr>
          <w:p w:rsidR="001F13D5" w:rsidRDefault="007D5351" w:rsidP="001F13D5">
            <w:pPr>
              <w:pStyle w:val="Heading2"/>
            </w:pPr>
            <w:r>
              <w:t>SCHOOL DIVISION</w:t>
            </w:r>
            <w:r w:rsidR="001F13D5">
              <w:t xml:space="preserve"> </w:t>
            </w:r>
          </w:p>
          <w:p w:rsidR="007D5351" w:rsidRDefault="001F13D5" w:rsidP="005F4100">
            <w:pPr>
              <w:pStyle w:val="Heading2"/>
            </w:pPr>
            <w:r>
              <w:t>CATEGORICAL GRANT</w:t>
            </w:r>
            <w:r w:rsidR="007D5351">
              <w:t xml:space="preserve"> </w:t>
            </w:r>
            <w:r w:rsidR="009C0E48">
              <w:t xml:space="preserve">OUTCOMES </w:t>
            </w:r>
            <w:r w:rsidR="007D5351">
              <w:t>REPORT 2014</w:t>
            </w:r>
            <w:r w:rsidR="005F4100">
              <w:t>–</w:t>
            </w:r>
            <w:r w:rsidR="007D5351">
              <w:t>15</w:t>
            </w:r>
          </w:p>
        </w:tc>
      </w:tr>
      <w:tr w:rsidR="007D5351" w:rsidRPr="007D5351" w:rsidTr="009529E3">
        <w:trPr>
          <w:trHeight w:val="390"/>
        </w:trPr>
        <w:tc>
          <w:tcPr>
            <w:tcW w:w="214" w:type="pct"/>
            <w:vMerge w:val="restart"/>
            <w:tcBorders>
              <w:top w:val="single" w:sz="24" w:space="0" w:color="auto"/>
              <w:left w:val="single" w:sz="24" w:space="0" w:color="auto"/>
            </w:tcBorders>
            <w:shd w:val="clear" w:color="auto" w:fill="auto"/>
            <w:textDirection w:val="btLr"/>
          </w:tcPr>
          <w:p w:rsidR="007D5351" w:rsidRPr="001F13D5" w:rsidRDefault="007D5351" w:rsidP="007D5351">
            <w:pPr>
              <w:pStyle w:val="Heading2"/>
              <w:ind w:left="113" w:right="113"/>
              <w:rPr>
                <w:sz w:val="24"/>
                <w:szCs w:val="24"/>
              </w:rPr>
            </w:pPr>
            <w:r w:rsidRPr="001F13D5">
              <w:rPr>
                <w:sz w:val="24"/>
                <w:szCs w:val="24"/>
              </w:rPr>
              <w:t>Step 1</w:t>
            </w:r>
          </w:p>
        </w:tc>
        <w:tc>
          <w:tcPr>
            <w:tcW w:w="4786" w:type="pct"/>
            <w:gridSpan w:val="6"/>
            <w:tcBorders>
              <w:top w:val="single" w:sz="24" w:space="0" w:color="auto"/>
              <w:right w:val="single" w:sz="24" w:space="0" w:color="auto"/>
            </w:tcBorders>
            <w:shd w:val="clear" w:color="auto" w:fill="D9D9D9" w:themeFill="background1" w:themeFillShade="D9"/>
          </w:tcPr>
          <w:p w:rsidR="001F13D5" w:rsidRPr="00443D9F" w:rsidRDefault="007D5351" w:rsidP="001306B9">
            <w:pPr>
              <w:rPr>
                <w:rFonts w:ascii="Arial" w:hAnsi="Arial" w:cs="Arial"/>
                <w:b/>
                <w:color w:val="B2A1C7" w:themeColor="accent4" w:themeTint="99"/>
                <w:sz w:val="24"/>
                <w:szCs w:val="24"/>
              </w:rPr>
            </w:pPr>
            <w:r w:rsidRPr="001F13D5">
              <w:rPr>
                <w:rFonts w:ascii="Arial" w:hAnsi="Arial" w:cs="Arial"/>
                <w:b/>
                <w:sz w:val="24"/>
                <w:szCs w:val="24"/>
              </w:rPr>
              <w:t>Identification</w:t>
            </w:r>
          </w:p>
        </w:tc>
      </w:tr>
      <w:tr w:rsidR="007D5351" w:rsidRPr="007D5351" w:rsidTr="009529E3">
        <w:trPr>
          <w:trHeight w:val="648"/>
        </w:trPr>
        <w:tc>
          <w:tcPr>
            <w:tcW w:w="214" w:type="pct"/>
            <w:vMerge/>
            <w:tcBorders>
              <w:left w:val="single" w:sz="24" w:space="0" w:color="auto"/>
              <w:bottom w:val="single" w:sz="24" w:space="0" w:color="auto"/>
            </w:tcBorders>
            <w:shd w:val="clear" w:color="auto" w:fill="auto"/>
          </w:tcPr>
          <w:p w:rsidR="007D5351" w:rsidRDefault="007D5351" w:rsidP="007D5351">
            <w:pPr>
              <w:pStyle w:val="Heading2"/>
              <w:rPr>
                <w:rFonts w:ascii="Arial" w:hAnsi="Arial"/>
                <w:sz w:val="20"/>
              </w:rPr>
            </w:pPr>
          </w:p>
        </w:tc>
        <w:tc>
          <w:tcPr>
            <w:tcW w:w="1260" w:type="pct"/>
            <w:gridSpan w:val="2"/>
            <w:tcBorders>
              <w:bottom w:val="single" w:sz="24" w:space="0" w:color="auto"/>
            </w:tcBorders>
            <w:shd w:val="clear" w:color="auto" w:fill="auto"/>
          </w:tcPr>
          <w:p w:rsidR="007D5351" w:rsidRDefault="002040F8" w:rsidP="007D5351">
            <w:pPr>
              <w:pStyle w:val="Heading2"/>
              <w:jc w:val="left"/>
              <w:rPr>
                <w:rFonts w:ascii="Arial" w:hAnsi="Arial"/>
                <w:sz w:val="20"/>
              </w:rPr>
            </w:pPr>
            <w:r>
              <w:rPr>
                <w:rFonts w:ascii="Arial" w:hAnsi="Arial"/>
                <w:sz w:val="20"/>
              </w:rPr>
              <w:t>Name of S</w:t>
            </w:r>
            <w:r w:rsidR="007D5351">
              <w:rPr>
                <w:rFonts w:ascii="Arial" w:hAnsi="Arial"/>
                <w:sz w:val="20"/>
              </w:rPr>
              <w:t xml:space="preserve">chool </w:t>
            </w:r>
            <w:r>
              <w:rPr>
                <w:rFonts w:ascii="Arial" w:hAnsi="Arial"/>
                <w:sz w:val="20"/>
              </w:rPr>
              <w:t>D</w:t>
            </w:r>
            <w:r w:rsidR="007D5351">
              <w:rPr>
                <w:rFonts w:ascii="Arial" w:hAnsi="Arial"/>
                <w:sz w:val="20"/>
              </w:rPr>
              <w:t>ivision</w:t>
            </w:r>
          </w:p>
          <w:p w:rsidR="00B54356" w:rsidRPr="00B54356" w:rsidRDefault="000F4508" w:rsidP="00B54356">
            <w:pPr>
              <w:rPr>
                <w:rFonts w:ascii="Arial" w:hAnsi="Arial" w:cs="Arial"/>
                <w:sz w:val="24"/>
              </w:rPr>
            </w:pPr>
            <w:r w:rsidRPr="00A008C5">
              <w:rPr>
                <w:rFonts w:ascii="Arial" w:hAnsi="Arial" w:cs="Arial"/>
                <w:sz w:val="24"/>
              </w:rPr>
              <w:t>Lakewood</w:t>
            </w:r>
          </w:p>
        </w:tc>
        <w:tc>
          <w:tcPr>
            <w:tcW w:w="1260" w:type="pct"/>
            <w:gridSpan w:val="3"/>
            <w:tcBorders>
              <w:bottom w:val="single" w:sz="24" w:space="0" w:color="auto"/>
            </w:tcBorders>
            <w:shd w:val="clear" w:color="auto" w:fill="auto"/>
          </w:tcPr>
          <w:p w:rsidR="007D5351" w:rsidRDefault="007D5351" w:rsidP="007D5351">
            <w:pPr>
              <w:pStyle w:val="Heading2"/>
              <w:jc w:val="left"/>
              <w:rPr>
                <w:rFonts w:ascii="Arial" w:hAnsi="Arial"/>
                <w:sz w:val="20"/>
              </w:rPr>
            </w:pPr>
            <w:r>
              <w:rPr>
                <w:rFonts w:ascii="Arial" w:hAnsi="Arial"/>
                <w:sz w:val="20"/>
              </w:rPr>
              <w:t>Name of Superintendent</w:t>
            </w:r>
          </w:p>
          <w:p w:rsidR="00B54356" w:rsidRPr="00B54356" w:rsidRDefault="000F4508" w:rsidP="00B54356">
            <w:pPr>
              <w:rPr>
                <w:rFonts w:ascii="Arial" w:hAnsi="Arial" w:cs="Arial"/>
                <w:sz w:val="24"/>
              </w:rPr>
            </w:pPr>
            <w:r w:rsidRPr="00A008C5">
              <w:rPr>
                <w:rFonts w:ascii="Arial" w:hAnsi="Arial" w:cs="Arial"/>
                <w:sz w:val="24"/>
              </w:rPr>
              <w:t>Leslie Russo</w:t>
            </w:r>
          </w:p>
        </w:tc>
        <w:tc>
          <w:tcPr>
            <w:tcW w:w="2266" w:type="pct"/>
            <w:tcBorders>
              <w:bottom w:val="single" w:sz="24" w:space="0" w:color="auto"/>
              <w:right w:val="single" w:sz="24" w:space="0" w:color="auto"/>
            </w:tcBorders>
            <w:shd w:val="clear" w:color="auto" w:fill="auto"/>
          </w:tcPr>
          <w:p w:rsidR="007D5351" w:rsidRDefault="007D5351" w:rsidP="007D5351">
            <w:pPr>
              <w:pStyle w:val="Heading2"/>
              <w:jc w:val="left"/>
              <w:rPr>
                <w:rFonts w:ascii="Arial" w:hAnsi="Arial"/>
                <w:sz w:val="20"/>
              </w:rPr>
            </w:pPr>
            <w:r>
              <w:rPr>
                <w:rFonts w:ascii="Arial" w:hAnsi="Arial"/>
                <w:sz w:val="20"/>
              </w:rPr>
              <w:t>Date of Report (</w:t>
            </w:r>
            <w:proofErr w:type="spellStart"/>
            <w:r>
              <w:rPr>
                <w:rFonts w:ascii="Arial" w:hAnsi="Arial"/>
                <w:sz w:val="20"/>
              </w:rPr>
              <w:t>yyyy</w:t>
            </w:r>
            <w:proofErr w:type="spellEnd"/>
            <w:r>
              <w:rPr>
                <w:rFonts w:ascii="Arial" w:hAnsi="Arial"/>
                <w:sz w:val="20"/>
              </w:rPr>
              <w:t>/mm/</w:t>
            </w:r>
            <w:proofErr w:type="spellStart"/>
            <w:r>
              <w:rPr>
                <w:rFonts w:ascii="Arial" w:hAnsi="Arial"/>
                <w:sz w:val="20"/>
              </w:rPr>
              <w:t>dd</w:t>
            </w:r>
            <w:proofErr w:type="spellEnd"/>
            <w:r>
              <w:rPr>
                <w:rFonts w:ascii="Arial" w:hAnsi="Arial"/>
                <w:sz w:val="20"/>
              </w:rPr>
              <w:t>)</w:t>
            </w:r>
            <w:r w:rsidR="00B54356">
              <w:rPr>
                <w:rFonts w:ascii="Arial" w:hAnsi="Arial"/>
                <w:sz w:val="20"/>
              </w:rPr>
              <w:t>:</w:t>
            </w:r>
          </w:p>
          <w:p w:rsidR="00B54356" w:rsidRPr="00B54356" w:rsidRDefault="000F4508" w:rsidP="00B54356">
            <w:pPr>
              <w:rPr>
                <w:rFonts w:ascii="Arial" w:hAnsi="Arial" w:cs="Arial"/>
                <w:sz w:val="24"/>
              </w:rPr>
            </w:pPr>
            <w:r w:rsidRPr="00A008C5">
              <w:rPr>
                <w:rFonts w:ascii="Arial" w:hAnsi="Arial" w:cs="Arial"/>
                <w:sz w:val="24"/>
              </w:rPr>
              <w:t>2014-10-22</w:t>
            </w:r>
          </w:p>
        </w:tc>
      </w:tr>
      <w:tr w:rsidR="009E0818" w:rsidRPr="007D5351" w:rsidTr="009529E3">
        <w:trPr>
          <w:trHeight w:val="390"/>
        </w:trPr>
        <w:tc>
          <w:tcPr>
            <w:tcW w:w="5000" w:type="pct"/>
            <w:gridSpan w:val="7"/>
            <w:tcBorders>
              <w:top w:val="single" w:sz="24" w:space="0" w:color="auto"/>
              <w:left w:val="single" w:sz="24" w:space="0" w:color="auto"/>
              <w:bottom w:val="nil"/>
              <w:right w:val="single" w:sz="24" w:space="0" w:color="auto"/>
            </w:tcBorders>
            <w:shd w:val="clear" w:color="auto" w:fill="auto"/>
          </w:tcPr>
          <w:p w:rsidR="009E0818" w:rsidRPr="009F185E" w:rsidRDefault="009E0818" w:rsidP="00A30CAB">
            <w:pPr>
              <w:rPr>
                <w:rFonts w:ascii="Arial" w:hAnsi="Arial" w:cs="Arial"/>
                <w:b/>
                <w:sz w:val="24"/>
              </w:rPr>
            </w:pPr>
            <w:r w:rsidRPr="009F185E">
              <w:rPr>
                <w:rFonts w:ascii="Arial" w:hAnsi="Arial" w:cs="Arial"/>
                <w:b/>
                <w:sz w:val="22"/>
              </w:rPr>
              <w:t xml:space="preserve">Use this template to report on </w:t>
            </w:r>
            <w:r w:rsidR="00A30CAB">
              <w:rPr>
                <w:rFonts w:ascii="Arial" w:hAnsi="Arial" w:cs="Arial"/>
                <w:b/>
                <w:sz w:val="22"/>
              </w:rPr>
              <w:t xml:space="preserve">each Grant separately: </w:t>
            </w:r>
          </w:p>
        </w:tc>
      </w:tr>
      <w:tr w:rsidR="009E0818" w:rsidRPr="007D5351" w:rsidTr="009529E3">
        <w:trPr>
          <w:trHeight w:val="432"/>
        </w:trPr>
        <w:tc>
          <w:tcPr>
            <w:tcW w:w="2334" w:type="pct"/>
            <w:gridSpan w:val="4"/>
            <w:tcBorders>
              <w:top w:val="nil"/>
              <w:left w:val="single" w:sz="24" w:space="0" w:color="auto"/>
              <w:bottom w:val="nil"/>
              <w:right w:val="nil"/>
            </w:tcBorders>
            <w:shd w:val="clear" w:color="auto" w:fill="auto"/>
          </w:tcPr>
          <w:p w:rsidR="009E0818" w:rsidRPr="009F185E" w:rsidRDefault="003C505F" w:rsidP="009D5AD3">
            <w:pPr>
              <w:ind w:left="702"/>
              <w:rPr>
                <w:sz w:val="22"/>
                <w:szCs w:val="22"/>
              </w:rPr>
            </w:pPr>
            <w:r>
              <w:rPr>
                <w:rFonts w:ascii="Arial Black" w:hAnsi="Arial Black"/>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23.55pt;height:20.45pt" o:ole="">
                  <v:imagedata r:id="rId7" o:title=""/>
                </v:shape>
                <w:control r:id="rId8" w:name="OptionButton1" w:shapeid="_x0000_i1039"/>
              </w:object>
            </w:r>
            <w:r w:rsidR="009E0818" w:rsidRPr="009F185E">
              <w:rPr>
                <w:rFonts w:ascii="Arial" w:hAnsi="Arial" w:cs="Arial"/>
                <w:sz w:val="22"/>
                <w:szCs w:val="22"/>
              </w:rPr>
              <w:t xml:space="preserve"> </w:t>
            </w:r>
            <w:r w:rsidRPr="00C95C90">
              <w:rPr>
                <w:rFonts w:ascii="Arial Black" w:hAnsi="Arial Black" w:cs="Arial"/>
              </w:rPr>
              <w:object w:dxaOrig="225" w:dyaOrig="225">
                <v:shape id="_x0000_i1041" type="#_x0000_t75" style="width:388.45pt;height:20.45pt" o:ole="">
                  <v:imagedata r:id="rId9" o:title=""/>
                </v:shape>
                <w:control r:id="rId10" w:name="OptionButton2" w:shapeid="_x0000_i1041"/>
              </w:object>
            </w:r>
            <w:r>
              <w:object w:dxaOrig="225" w:dyaOrig="225">
                <v:shape id="_x0000_i1043" type="#_x0000_t75" style="width:264.9pt;height:20.45pt" o:ole="">
                  <v:imagedata r:id="rId11" o:title=""/>
                </v:shape>
                <w:control r:id="rId12" w:name="OptionButton3" w:shapeid="_x0000_i1043"/>
              </w:object>
            </w:r>
            <w:r>
              <w:rPr>
                <w:rFonts w:ascii="Arial Black" w:hAnsi="Arial Black"/>
              </w:rPr>
              <w:object w:dxaOrig="225" w:dyaOrig="225">
                <v:shape id="_x0000_i1045" type="#_x0000_t75" style="width:273.8pt;height:20.45pt" o:ole="">
                  <v:imagedata r:id="rId13" o:title=""/>
                </v:shape>
                <w:control r:id="rId14" w:name="OptionButton4" w:shapeid="_x0000_i1045"/>
              </w:object>
            </w:r>
          </w:p>
        </w:tc>
        <w:tc>
          <w:tcPr>
            <w:tcW w:w="2666" w:type="pct"/>
            <w:gridSpan w:val="3"/>
            <w:tcBorders>
              <w:top w:val="nil"/>
              <w:left w:val="nil"/>
              <w:bottom w:val="nil"/>
              <w:right w:val="single" w:sz="24" w:space="0" w:color="auto"/>
            </w:tcBorders>
            <w:shd w:val="clear" w:color="auto" w:fill="auto"/>
          </w:tcPr>
          <w:p w:rsidR="00E650B0" w:rsidRDefault="003C505F" w:rsidP="00E650B0">
            <w:pPr>
              <w:ind w:left="702"/>
              <w:rPr>
                <w:sz w:val="22"/>
                <w:szCs w:val="22"/>
              </w:rPr>
            </w:pPr>
            <w:r>
              <w:rPr>
                <w:rFonts w:ascii="Arial Black" w:hAnsi="Arial Black"/>
              </w:rPr>
              <w:object w:dxaOrig="225" w:dyaOrig="225">
                <v:shape id="_x0000_i1047" type="#_x0000_t75" style="width:398.2pt;height:20.45pt" o:ole="">
                  <v:imagedata r:id="rId15" o:title=""/>
                </v:shape>
                <w:control r:id="rId16" w:name="OptionButton5" w:shapeid="_x0000_i1047"/>
              </w:object>
            </w:r>
            <w:r>
              <w:rPr>
                <w:rFonts w:ascii="Arial Black" w:hAnsi="Arial Black"/>
              </w:rPr>
              <w:object w:dxaOrig="225" w:dyaOrig="225">
                <v:shape id="_x0000_i1049" type="#_x0000_t75" style="width:380.45pt;height:20.45pt" o:ole="">
                  <v:imagedata r:id="rId17" o:title=""/>
                </v:shape>
                <w:control r:id="rId18" w:name="OptionButton6" w:shapeid="_x0000_i1049"/>
              </w:object>
            </w:r>
            <w:r w:rsidR="009E0818" w:rsidRPr="009F185E">
              <w:rPr>
                <w:sz w:val="22"/>
                <w:szCs w:val="22"/>
              </w:rPr>
              <w:t xml:space="preserve"> </w:t>
            </w:r>
          </w:p>
          <w:p w:rsidR="009E0818" w:rsidRPr="009F185E" w:rsidRDefault="003C505F" w:rsidP="00E650B0">
            <w:pPr>
              <w:ind w:left="702"/>
              <w:rPr>
                <w:rFonts w:ascii="Arial Black" w:hAnsi="Arial Black"/>
                <w:sz w:val="22"/>
                <w:szCs w:val="22"/>
              </w:rPr>
            </w:pPr>
            <w:r>
              <w:rPr>
                <w:rFonts w:ascii="Arial Black" w:hAnsi="Arial Black"/>
              </w:rPr>
              <w:object w:dxaOrig="225" w:dyaOrig="225">
                <v:shape id="_x0000_i1051" type="#_x0000_t75" style="width:249.8pt;height:20.45pt" o:ole="">
                  <v:imagedata r:id="rId19" o:title=""/>
                </v:shape>
                <w:control r:id="rId20" w:name="OptionButton7" w:shapeid="_x0000_i1051"/>
              </w:object>
            </w:r>
          </w:p>
        </w:tc>
      </w:tr>
      <w:tr w:rsidR="009E0818" w:rsidRPr="007D5351" w:rsidTr="009529E3">
        <w:trPr>
          <w:trHeight w:val="432"/>
        </w:trPr>
        <w:tc>
          <w:tcPr>
            <w:tcW w:w="5000" w:type="pct"/>
            <w:gridSpan w:val="7"/>
            <w:tcBorders>
              <w:top w:val="nil"/>
              <w:left w:val="single" w:sz="24" w:space="0" w:color="auto"/>
              <w:bottom w:val="single" w:sz="24" w:space="0" w:color="auto"/>
              <w:right w:val="single" w:sz="24" w:space="0" w:color="auto"/>
            </w:tcBorders>
            <w:shd w:val="clear" w:color="auto" w:fill="auto"/>
          </w:tcPr>
          <w:p w:rsidR="009E0818" w:rsidRPr="009E0818" w:rsidRDefault="009E0818" w:rsidP="009E0818">
            <w:pPr>
              <w:tabs>
                <w:tab w:val="left" w:pos="2052"/>
              </w:tabs>
              <w:rPr>
                <w:rFonts w:ascii="Arial" w:hAnsi="Arial" w:cs="Arial"/>
                <w:sz w:val="24"/>
              </w:rPr>
            </w:pPr>
            <w:r w:rsidRPr="009F185E">
              <w:rPr>
                <w:rFonts w:ascii="Arial" w:hAnsi="Arial" w:cs="Arial"/>
                <w:b/>
                <w:sz w:val="22"/>
              </w:rPr>
              <w:t xml:space="preserve">Please note: A </w:t>
            </w:r>
            <w:r w:rsidRPr="009F185E">
              <w:rPr>
                <w:rFonts w:ascii="Arial" w:hAnsi="Arial" w:cs="Arial"/>
                <w:b/>
                <w:i/>
                <w:sz w:val="22"/>
              </w:rPr>
              <w:t>Financial Report</w:t>
            </w:r>
            <w:r w:rsidRPr="009F185E">
              <w:rPr>
                <w:rFonts w:ascii="Arial" w:hAnsi="Arial" w:cs="Arial"/>
                <w:b/>
                <w:sz w:val="22"/>
              </w:rPr>
              <w:t xml:space="preserve"> is also required for each categorical grant</w:t>
            </w:r>
          </w:p>
        </w:tc>
      </w:tr>
      <w:tr w:rsidR="009E0818" w:rsidRPr="007D5351" w:rsidTr="009529E3">
        <w:trPr>
          <w:trHeight w:val="520"/>
        </w:trPr>
        <w:tc>
          <w:tcPr>
            <w:tcW w:w="214" w:type="pct"/>
            <w:vMerge w:val="restart"/>
            <w:tcBorders>
              <w:top w:val="single" w:sz="24" w:space="0" w:color="auto"/>
              <w:left w:val="single" w:sz="24" w:space="0" w:color="auto"/>
              <w:right w:val="single" w:sz="24" w:space="0" w:color="auto"/>
            </w:tcBorders>
            <w:shd w:val="clear" w:color="auto" w:fill="auto"/>
            <w:textDirection w:val="btLr"/>
          </w:tcPr>
          <w:p w:rsidR="009E0818" w:rsidRPr="001F13D5" w:rsidRDefault="009E0818" w:rsidP="009E0818">
            <w:pPr>
              <w:pStyle w:val="Heading2"/>
              <w:ind w:left="113" w:right="113"/>
              <w:rPr>
                <w:sz w:val="24"/>
              </w:rPr>
            </w:pPr>
            <w:r w:rsidRPr="009E0818">
              <w:rPr>
                <w:sz w:val="24"/>
                <w:szCs w:val="24"/>
              </w:rPr>
              <w:t>Step 2</w:t>
            </w:r>
          </w:p>
        </w:tc>
        <w:tc>
          <w:tcPr>
            <w:tcW w:w="4786" w:type="pct"/>
            <w:gridSpan w:val="6"/>
            <w:tcBorders>
              <w:top w:val="single" w:sz="24" w:space="0" w:color="auto"/>
              <w:left w:val="single" w:sz="24" w:space="0" w:color="auto"/>
              <w:right w:val="single" w:sz="24" w:space="0" w:color="auto"/>
            </w:tcBorders>
            <w:shd w:val="clear" w:color="auto" w:fill="D9D9D9" w:themeFill="background1" w:themeFillShade="D9"/>
          </w:tcPr>
          <w:p w:rsidR="009E0818" w:rsidRPr="009F185E" w:rsidRDefault="009E0818" w:rsidP="002364AC">
            <w:pPr>
              <w:rPr>
                <w:rFonts w:ascii="Arial" w:hAnsi="Arial" w:cs="Arial"/>
                <w:b/>
                <w:sz w:val="24"/>
              </w:rPr>
            </w:pPr>
            <w:r w:rsidRPr="009F185E">
              <w:rPr>
                <w:rFonts w:ascii="Arial" w:hAnsi="Arial" w:cs="Arial"/>
                <w:b/>
                <w:sz w:val="22"/>
              </w:rPr>
              <w:t>Fully describe the Categorical Grant planning process for EACH grant. Provide details of your planning process (who was involved, how were priorities chosen</w:t>
            </w:r>
            <w:r w:rsidR="002364AC">
              <w:rPr>
                <w:rFonts w:ascii="Arial" w:hAnsi="Arial" w:cs="Arial"/>
                <w:b/>
                <w:sz w:val="22"/>
              </w:rPr>
              <w:t>,</w:t>
            </w:r>
            <w:r w:rsidRPr="009F185E">
              <w:rPr>
                <w:rFonts w:ascii="Arial" w:hAnsi="Arial" w:cs="Arial"/>
                <w:b/>
                <w:sz w:val="22"/>
              </w:rPr>
              <w:t xml:space="preserve"> what data used, when is planning done)</w:t>
            </w:r>
          </w:p>
        </w:tc>
      </w:tr>
      <w:tr w:rsidR="000B01F3" w:rsidRPr="007D5351" w:rsidTr="009529E3">
        <w:trPr>
          <w:trHeight w:val="1748"/>
        </w:trPr>
        <w:tc>
          <w:tcPr>
            <w:tcW w:w="214" w:type="pct"/>
            <w:vMerge/>
            <w:tcBorders>
              <w:left w:val="single" w:sz="24" w:space="0" w:color="auto"/>
              <w:right w:val="single" w:sz="24" w:space="0" w:color="auto"/>
            </w:tcBorders>
            <w:shd w:val="clear" w:color="auto" w:fill="auto"/>
          </w:tcPr>
          <w:p w:rsidR="000B01F3" w:rsidRPr="001F13D5" w:rsidRDefault="000B01F3" w:rsidP="001F13D5">
            <w:pPr>
              <w:rPr>
                <w:rFonts w:ascii="Arial Black" w:hAnsi="Arial Black"/>
                <w:sz w:val="24"/>
              </w:rPr>
            </w:pPr>
          </w:p>
        </w:tc>
        <w:tc>
          <w:tcPr>
            <w:tcW w:w="4786" w:type="pct"/>
            <w:gridSpan w:val="6"/>
            <w:tcBorders>
              <w:left w:val="single" w:sz="24" w:space="0" w:color="auto"/>
              <w:right w:val="single" w:sz="24" w:space="0" w:color="auto"/>
            </w:tcBorders>
            <w:shd w:val="clear" w:color="auto" w:fill="auto"/>
            <w:vAlign w:val="center"/>
          </w:tcPr>
          <w:p w:rsidR="000B01F3" w:rsidRPr="00B54356" w:rsidRDefault="000F4508" w:rsidP="00B54356">
            <w:pPr>
              <w:rPr>
                <w:rFonts w:ascii="Arial" w:hAnsi="Arial" w:cs="Arial"/>
                <w:sz w:val="22"/>
              </w:rPr>
            </w:pPr>
            <w:r>
              <w:rPr>
                <w:rFonts w:ascii="Arial" w:hAnsi="Arial" w:cs="Arial"/>
                <w:noProof/>
                <w:sz w:val="22"/>
              </w:rPr>
              <w:t>The Divisional Healthy Schools Team is responsible for assessing, planning, and implementing initiatives related to the Healthy Schools Categorical Grant funding.  The Healthy Schools Divisional Team represents various aspects of the school community, including: school staff, divisional staff, RHA representatives, community representatives, parents, and administrators.  Each school representative leads a Healthy Schools Team at their respective school.  Students are also consulted as a part of the planning process as their input is essential to effective implementation.  Priorities were chosen by identifying the needs within the division as related to the six priority health topics of Healthy Schools.  Data from the Youth Health Survey and Tell Them From Me were used to inform the planning and priorities, as well as perceived needs from teachers in the field.  The strengths and areas of improvement were discussed and considered based on the 6 prioroty healthy topics of the Healthy Schools Initiative. Planning for the next school year begins in the spring, and the Divisional Team meets approximately five times per year to continue discussion and implementation.  The Team also utilizes the Comprehensive School Health Framework as a lens to assess and plan to ensure that action is taken in all 4 pillars.</w:t>
            </w:r>
          </w:p>
        </w:tc>
      </w:tr>
      <w:tr w:rsidR="009F185E" w:rsidRPr="007D5351" w:rsidTr="009529E3">
        <w:trPr>
          <w:trHeight w:val="576"/>
        </w:trPr>
        <w:tc>
          <w:tcPr>
            <w:tcW w:w="214" w:type="pct"/>
            <w:vMerge w:val="restart"/>
            <w:tcBorders>
              <w:top w:val="single" w:sz="24" w:space="0" w:color="auto"/>
              <w:left w:val="single" w:sz="24" w:space="0" w:color="auto"/>
              <w:right w:val="single" w:sz="24" w:space="0" w:color="auto"/>
            </w:tcBorders>
            <w:shd w:val="clear" w:color="auto" w:fill="auto"/>
            <w:textDirection w:val="btLr"/>
          </w:tcPr>
          <w:p w:rsidR="009F185E" w:rsidRPr="001F13D5" w:rsidRDefault="009F185E" w:rsidP="009E0818">
            <w:pPr>
              <w:pStyle w:val="Heading2"/>
              <w:ind w:left="113" w:right="113"/>
              <w:rPr>
                <w:sz w:val="24"/>
              </w:rPr>
            </w:pPr>
            <w:r w:rsidRPr="009E0818">
              <w:rPr>
                <w:sz w:val="24"/>
                <w:szCs w:val="24"/>
              </w:rPr>
              <w:t>Step 3</w:t>
            </w:r>
          </w:p>
        </w:tc>
        <w:tc>
          <w:tcPr>
            <w:tcW w:w="4786" w:type="pct"/>
            <w:gridSpan w:val="6"/>
            <w:tcBorders>
              <w:top w:val="single" w:sz="24" w:space="0" w:color="auto"/>
              <w:left w:val="single" w:sz="24" w:space="0" w:color="auto"/>
              <w:right w:val="single" w:sz="24" w:space="0" w:color="auto"/>
            </w:tcBorders>
            <w:shd w:val="clear" w:color="auto" w:fill="D9D9D9" w:themeFill="background1" w:themeFillShade="D9"/>
          </w:tcPr>
          <w:p w:rsidR="009F185E" w:rsidRPr="009F185E" w:rsidRDefault="009F185E" w:rsidP="005F4100">
            <w:pPr>
              <w:rPr>
                <w:rFonts w:ascii="Arial" w:hAnsi="Arial" w:cs="Arial"/>
                <w:b/>
                <w:sz w:val="24"/>
              </w:rPr>
            </w:pPr>
            <w:r w:rsidRPr="009F185E">
              <w:rPr>
                <w:rFonts w:ascii="Arial" w:hAnsi="Arial" w:cs="Arial"/>
                <w:b/>
                <w:sz w:val="22"/>
              </w:rPr>
              <w:t>Report on previous years. Please comment on successes and progress towards meeting outcomes from previous plans. 2011</w:t>
            </w:r>
            <w:r w:rsidR="005F4100">
              <w:rPr>
                <w:rFonts w:ascii="Arial" w:hAnsi="Arial" w:cs="Arial"/>
                <w:b/>
                <w:sz w:val="22"/>
              </w:rPr>
              <w:t>–</w:t>
            </w:r>
            <w:r w:rsidRPr="009F185E">
              <w:rPr>
                <w:rFonts w:ascii="Arial" w:hAnsi="Arial" w:cs="Arial"/>
                <w:b/>
                <w:sz w:val="22"/>
              </w:rPr>
              <w:t>2012, 2012</w:t>
            </w:r>
            <w:r w:rsidR="005F4100">
              <w:rPr>
                <w:rFonts w:ascii="Arial" w:hAnsi="Arial" w:cs="Arial"/>
                <w:b/>
                <w:sz w:val="22"/>
              </w:rPr>
              <w:t>–</w:t>
            </w:r>
            <w:r w:rsidRPr="009F185E">
              <w:rPr>
                <w:rFonts w:ascii="Arial" w:hAnsi="Arial" w:cs="Arial"/>
                <w:b/>
                <w:sz w:val="22"/>
              </w:rPr>
              <w:t>2013, 2013</w:t>
            </w:r>
            <w:r w:rsidR="005F4100">
              <w:rPr>
                <w:rFonts w:ascii="Arial" w:hAnsi="Arial" w:cs="Arial"/>
                <w:b/>
                <w:sz w:val="22"/>
              </w:rPr>
              <w:t>–</w:t>
            </w:r>
            <w:r w:rsidRPr="009F185E">
              <w:rPr>
                <w:rFonts w:ascii="Arial" w:hAnsi="Arial" w:cs="Arial"/>
                <w:b/>
                <w:sz w:val="22"/>
              </w:rPr>
              <w:t xml:space="preserve">2014 </w:t>
            </w:r>
          </w:p>
        </w:tc>
      </w:tr>
      <w:tr w:rsidR="009F185E" w:rsidRPr="007D5351" w:rsidTr="004E75EC">
        <w:trPr>
          <w:trHeight w:val="422"/>
        </w:trPr>
        <w:tc>
          <w:tcPr>
            <w:tcW w:w="214" w:type="pct"/>
            <w:vMerge/>
            <w:tcBorders>
              <w:left w:val="single" w:sz="24" w:space="0" w:color="auto"/>
              <w:right w:val="single" w:sz="24" w:space="0" w:color="auto"/>
            </w:tcBorders>
            <w:shd w:val="clear" w:color="auto" w:fill="auto"/>
          </w:tcPr>
          <w:p w:rsidR="009F185E" w:rsidRPr="001F13D5" w:rsidRDefault="009F185E" w:rsidP="001F13D5">
            <w:pPr>
              <w:rPr>
                <w:rFonts w:ascii="Arial Black" w:hAnsi="Arial Black"/>
                <w:sz w:val="24"/>
              </w:rPr>
            </w:pPr>
          </w:p>
        </w:tc>
        <w:tc>
          <w:tcPr>
            <w:tcW w:w="461" w:type="pct"/>
            <w:tcBorders>
              <w:left w:val="single" w:sz="24" w:space="0" w:color="auto"/>
            </w:tcBorders>
            <w:shd w:val="clear" w:color="auto" w:fill="auto"/>
            <w:vAlign w:val="center"/>
          </w:tcPr>
          <w:p w:rsidR="009F185E" w:rsidRPr="009C0E48" w:rsidRDefault="00BB25E0" w:rsidP="009C0E48">
            <w:pPr>
              <w:rPr>
                <w:rFonts w:ascii="Arial" w:hAnsi="Arial" w:cs="Arial"/>
                <w:b/>
                <w:sz w:val="22"/>
              </w:rPr>
            </w:pPr>
            <w:r>
              <w:rPr>
                <w:rFonts w:ascii="Arial" w:hAnsi="Arial" w:cs="Arial"/>
                <w:b/>
                <w:sz w:val="22"/>
              </w:rPr>
              <w:t>Year</w:t>
            </w:r>
          </w:p>
        </w:tc>
        <w:tc>
          <w:tcPr>
            <w:tcW w:w="1682" w:type="pct"/>
            <w:gridSpan w:val="3"/>
            <w:shd w:val="clear" w:color="auto" w:fill="auto"/>
            <w:vAlign w:val="center"/>
          </w:tcPr>
          <w:p w:rsidR="009F185E" w:rsidRPr="009C0E48" w:rsidRDefault="009F185E" w:rsidP="009C0E48">
            <w:pPr>
              <w:rPr>
                <w:rFonts w:ascii="Arial" w:hAnsi="Arial" w:cs="Arial"/>
                <w:b/>
                <w:sz w:val="22"/>
              </w:rPr>
            </w:pPr>
            <w:r w:rsidRPr="009C0E48">
              <w:rPr>
                <w:rFonts w:ascii="Arial" w:hAnsi="Arial" w:cs="Arial"/>
                <w:b/>
                <w:sz w:val="22"/>
              </w:rPr>
              <w:t>Outcomes targeted from previous years</w:t>
            </w:r>
          </w:p>
        </w:tc>
        <w:tc>
          <w:tcPr>
            <w:tcW w:w="2642" w:type="pct"/>
            <w:gridSpan w:val="2"/>
            <w:tcBorders>
              <w:right w:val="single" w:sz="24" w:space="0" w:color="auto"/>
            </w:tcBorders>
            <w:shd w:val="clear" w:color="auto" w:fill="auto"/>
            <w:vAlign w:val="center"/>
          </w:tcPr>
          <w:p w:rsidR="009F185E" w:rsidRPr="009C0E48" w:rsidRDefault="009F185E" w:rsidP="009C0E48">
            <w:pPr>
              <w:rPr>
                <w:rFonts w:ascii="Arial" w:hAnsi="Arial" w:cs="Arial"/>
                <w:b/>
                <w:sz w:val="22"/>
              </w:rPr>
            </w:pPr>
            <w:r w:rsidRPr="009C0E48">
              <w:rPr>
                <w:rFonts w:ascii="Arial" w:hAnsi="Arial" w:cs="Arial"/>
                <w:b/>
                <w:sz w:val="22"/>
              </w:rPr>
              <w:t>Evidence (from data sources) of progress in achieving outcomes</w:t>
            </w:r>
          </w:p>
        </w:tc>
      </w:tr>
      <w:tr w:rsidR="009F185E" w:rsidRPr="007D5351" w:rsidTr="004E75EC">
        <w:trPr>
          <w:trHeight w:val="693"/>
        </w:trPr>
        <w:tc>
          <w:tcPr>
            <w:tcW w:w="214" w:type="pct"/>
            <w:vMerge/>
            <w:tcBorders>
              <w:left w:val="single" w:sz="24" w:space="0" w:color="auto"/>
              <w:right w:val="single" w:sz="24" w:space="0" w:color="auto"/>
            </w:tcBorders>
            <w:shd w:val="clear" w:color="auto" w:fill="auto"/>
          </w:tcPr>
          <w:p w:rsidR="009F185E" w:rsidRPr="001F13D5" w:rsidRDefault="009F185E" w:rsidP="001F13D5">
            <w:pPr>
              <w:rPr>
                <w:rFonts w:ascii="Arial Black" w:hAnsi="Arial Black"/>
                <w:sz w:val="24"/>
              </w:rPr>
            </w:pPr>
          </w:p>
        </w:tc>
        <w:tc>
          <w:tcPr>
            <w:tcW w:w="461" w:type="pct"/>
            <w:tcBorders>
              <w:left w:val="single" w:sz="24" w:space="0" w:color="auto"/>
            </w:tcBorders>
            <w:shd w:val="clear" w:color="auto" w:fill="auto"/>
          </w:tcPr>
          <w:p w:rsidR="000F4508" w:rsidRDefault="000F4508" w:rsidP="002C7008">
            <w:pPr>
              <w:rPr>
                <w:rFonts w:ascii="Arial" w:hAnsi="Arial" w:cs="Arial"/>
                <w:sz w:val="22"/>
                <w:szCs w:val="22"/>
              </w:rPr>
            </w:pPr>
            <w:r>
              <w:rPr>
                <w:rFonts w:ascii="Arial" w:hAnsi="Arial" w:cs="Arial"/>
                <w:sz w:val="22"/>
                <w:szCs w:val="22"/>
              </w:rPr>
              <w:t>2011-2012</w:t>
            </w:r>
          </w:p>
          <w:p w:rsidR="009F185E" w:rsidRPr="000F4508" w:rsidRDefault="009F185E" w:rsidP="000F4508">
            <w:pPr>
              <w:rPr>
                <w:rFonts w:ascii="Arial" w:hAnsi="Arial" w:cs="Arial"/>
                <w:sz w:val="22"/>
                <w:szCs w:val="22"/>
              </w:rPr>
            </w:pPr>
          </w:p>
        </w:tc>
        <w:tc>
          <w:tcPr>
            <w:tcW w:w="1682" w:type="pct"/>
            <w:gridSpan w:val="3"/>
            <w:shd w:val="clear" w:color="auto" w:fill="auto"/>
          </w:tcPr>
          <w:p w:rsidR="009F185E" w:rsidRPr="00B54356" w:rsidRDefault="000F4508" w:rsidP="002C7008">
            <w:pPr>
              <w:rPr>
                <w:rFonts w:ascii="Arial" w:hAnsi="Arial" w:cs="Arial"/>
                <w:sz w:val="22"/>
                <w:szCs w:val="22"/>
              </w:rPr>
            </w:pPr>
            <w:r w:rsidRPr="000F4508">
              <w:rPr>
                <w:rFonts w:ascii="Arial" w:hAnsi="Arial" w:cs="Arial"/>
                <w:sz w:val="22"/>
                <w:szCs w:val="22"/>
              </w:rPr>
              <w:t>By June 2012, students will have increased knowledge and exposure to healthy foods.</w:t>
            </w:r>
          </w:p>
        </w:tc>
        <w:tc>
          <w:tcPr>
            <w:tcW w:w="2642" w:type="pct"/>
            <w:gridSpan w:val="2"/>
            <w:tcBorders>
              <w:right w:val="single" w:sz="24" w:space="0" w:color="auto"/>
            </w:tcBorders>
            <w:shd w:val="clear" w:color="auto" w:fill="auto"/>
          </w:tcPr>
          <w:p w:rsidR="009F185E" w:rsidRPr="00B54356" w:rsidRDefault="000F4508" w:rsidP="004E75EC">
            <w:pPr>
              <w:tabs>
                <w:tab w:val="left" w:pos="9556"/>
              </w:tabs>
              <w:rPr>
                <w:rFonts w:ascii="Arial" w:hAnsi="Arial" w:cs="Arial"/>
                <w:sz w:val="22"/>
                <w:szCs w:val="22"/>
              </w:rPr>
            </w:pPr>
            <w:r>
              <w:rPr>
                <w:rFonts w:ascii="Arial" w:hAnsi="Arial" w:cs="Arial"/>
                <w:sz w:val="22"/>
                <w:szCs w:val="22"/>
              </w:rPr>
              <w:t xml:space="preserve">The 2008 Youth Health </w:t>
            </w:r>
            <w:proofErr w:type="gramStart"/>
            <w:r>
              <w:rPr>
                <w:rFonts w:ascii="Arial" w:hAnsi="Arial" w:cs="Arial"/>
                <w:sz w:val="22"/>
                <w:szCs w:val="22"/>
              </w:rPr>
              <w:t>Survey,</w:t>
            </w:r>
            <w:proofErr w:type="gramEnd"/>
            <w:r>
              <w:rPr>
                <w:rFonts w:ascii="Arial" w:hAnsi="Arial" w:cs="Arial"/>
                <w:sz w:val="22"/>
                <w:szCs w:val="22"/>
              </w:rPr>
              <w:t xml:space="preserve"> and 2009 School Nutrition Survey identified healthy eating as an area for improvement in the division.  Schools in the division accessed the Healthy Schools Grant for initiatives such as breakfast/snack programs, healthy cafeteria snacks, and professional development for teachers from the Dairy Farmers of Manitoba.  All schools were required to report to the Divisional Team on how the initiative addressed the outcome.  </w:t>
            </w:r>
          </w:p>
        </w:tc>
      </w:tr>
      <w:tr w:rsidR="009F185E" w:rsidRPr="007D5351" w:rsidTr="004E75EC">
        <w:trPr>
          <w:trHeight w:val="693"/>
        </w:trPr>
        <w:tc>
          <w:tcPr>
            <w:tcW w:w="214" w:type="pct"/>
            <w:vMerge/>
            <w:tcBorders>
              <w:left w:val="single" w:sz="24" w:space="0" w:color="auto"/>
              <w:right w:val="single" w:sz="24" w:space="0" w:color="auto"/>
            </w:tcBorders>
            <w:shd w:val="clear" w:color="auto" w:fill="auto"/>
          </w:tcPr>
          <w:p w:rsidR="009F185E" w:rsidRPr="001F13D5" w:rsidRDefault="009F185E" w:rsidP="001F13D5">
            <w:pPr>
              <w:rPr>
                <w:rFonts w:ascii="Arial Black" w:hAnsi="Arial Black"/>
                <w:sz w:val="24"/>
              </w:rPr>
            </w:pPr>
          </w:p>
        </w:tc>
        <w:tc>
          <w:tcPr>
            <w:tcW w:w="461" w:type="pct"/>
            <w:tcBorders>
              <w:left w:val="single" w:sz="24" w:space="0" w:color="auto"/>
            </w:tcBorders>
            <w:shd w:val="clear" w:color="auto" w:fill="auto"/>
          </w:tcPr>
          <w:p w:rsidR="009F185E" w:rsidRPr="00B54356" w:rsidRDefault="000F4508" w:rsidP="002C7008">
            <w:pPr>
              <w:rPr>
                <w:rFonts w:ascii="Arial" w:hAnsi="Arial" w:cs="Arial"/>
                <w:sz w:val="22"/>
                <w:szCs w:val="22"/>
              </w:rPr>
            </w:pPr>
            <w:r>
              <w:rPr>
                <w:rFonts w:ascii="Arial" w:hAnsi="Arial" w:cs="Arial"/>
                <w:sz w:val="22"/>
                <w:szCs w:val="22"/>
              </w:rPr>
              <w:t>2012-2013</w:t>
            </w:r>
          </w:p>
        </w:tc>
        <w:tc>
          <w:tcPr>
            <w:tcW w:w="1682" w:type="pct"/>
            <w:gridSpan w:val="3"/>
            <w:shd w:val="clear" w:color="auto" w:fill="auto"/>
          </w:tcPr>
          <w:p w:rsidR="009F185E" w:rsidRPr="00B54356" w:rsidRDefault="000F4508" w:rsidP="002C7008">
            <w:pPr>
              <w:rPr>
                <w:rFonts w:ascii="Arial" w:hAnsi="Arial" w:cs="Arial"/>
                <w:sz w:val="22"/>
                <w:szCs w:val="22"/>
              </w:rPr>
            </w:pPr>
            <w:r>
              <w:rPr>
                <w:rFonts w:ascii="Arial" w:hAnsi="Arial" w:cs="Arial"/>
                <w:noProof/>
                <w:sz w:val="22"/>
                <w:szCs w:val="22"/>
              </w:rPr>
              <w:t>By June 2013, all students in the division will have increased exposure and overall knowledge of wellness and health activities</w:t>
            </w:r>
          </w:p>
        </w:tc>
        <w:tc>
          <w:tcPr>
            <w:tcW w:w="2642" w:type="pct"/>
            <w:gridSpan w:val="2"/>
            <w:tcBorders>
              <w:right w:val="single" w:sz="24" w:space="0" w:color="auto"/>
            </w:tcBorders>
            <w:shd w:val="clear" w:color="auto" w:fill="auto"/>
          </w:tcPr>
          <w:p w:rsidR="009F185E" w:rsidRPr="00B54356" w:rsidRDefault="000F4508" w:rsidP="001C2459">
            <w:pPr>
              <w:rPr>
                <w:rFonts w:ascii="Arial" w:hAnsi="Arial" w:cs="Arial"/>
                <w:sz w:val="22"/>
                <w:szCs w:val="22"/>
              </w:rPr>
            </w:pPr>
            <w:r>
              <w:rPr>
                <w:rFonts w:ascii="Arial" w:hAnsi="Arial" w:cs="Arial"/>
                <w:noProof/>
                <w:sz w:val="22"/>
                <w:szCs w:val="22"/>
              </w:rPr>
              <w:t xml:space="preserve">Each school was responsible for identifying and planning activities related to the outcome.  Schools identified activities based on need, and activities included topics such as cyber-bullying, breakfast programs, and wellness days.  Each school provided the Divisional Healthy Schools Team with a written report that included </w:t>
            </w:r>
            <w:r w:rsidR="001C2459">
              <w:rPr>
                <w:rFonts w:ascii="Arial" w:hAnsi="Arial" w:cs="Arial"/>
                <w:noProof/>
                <w:sz w:val="22"/>
                <w:szCs w:val="22"/>
              </w:rPr>
              <w:t xml:space="preserve">anecdotal </w:t>
            </w:r>
            <w:r>
              <w:rPr>
                <w:rFonts w:ascii="Arial" w:hAnsi="Arial" w:cs="Arial"/>
                <w:noProof/>
                <w:sz w:val="22"/>
                <w:szCs w:val="22"/>
              </w:rPr>
              <w:t xml:space="preserve">feedback from students and teachers, as well as a summary of </w:t>
            </w:r>
            <w:r>
              <w:rPr>
                <w:rFonts w:ascii="Arial" w:hAnsi="Arial" w:cs="Arial"/>
                <w:noProof/>
                <w:sz w:val="22"/>
                <w:szCs w:val="22"/>
              </w:rPr>
              <w:lastRenderedPageBreak/>
              <w:t>activities related to Healthy Schools.  Overall, the reports indicated that students' knowledge and exposure to wellness and health increased.</w:t>
            </w:r>
          </w:p>
        </w:tc>
      </w:tr>
      <w:tr w:rsidR="009F185E" w:rsidRPr="007D5351" w:rsidTr="004E75EC">
        <w:trPr>
          <w:trHeight w:val="693"/>
        </w:trPr>
        <w:tc>
          <w:tcPr>
            <w:tcW w:w="214" w:type="pct"/>
            <w:vMerge/>
            <w:tcBorders>
              <w:left w:val="single" w:sz="24" w:space="0" w:color="auto"/>
              <w:right w:val="single" w:sz="24" w:space="0" w:color="auto"/>
            </w:tcBorders>
            <w:shd w:val="clear" w:color="auto" w:fill="auto"/>
          </w:tcPr>
          <w:p w:rsidR="009F185E" w:rsidRPr="001F13D5" w:rsidRDefault="009F185E" w:rsidP="001F13D5">
            <w:pPr>
              <w:rPr>
                <w:rFonts w:ascii="Arial Black" w:hAnsi="Arial Black"/>
                <w:sz w:val="24"/>
              </w:rPr>
            </w:pPr>
          </w:p>
        </w:tc>
        <w:tc>
          <w:tcPr>
            <w:tcW w:w="461" w:type="pct"/>
            <w:tcBorders>
              <w:left w:val="single" w:sz="24" w:space="0" w:color="auto"/>
              <w:bottom w:val="single" w:sz="4" w:space="0" w:color="auto"/>
            </w:tcBorders>
            <w:shd w:val="clear" w:color="auto" w:fill="auto"/>
          </w:tcPr>
          <w:p w:rsidR="009F185E" w:rsidRPr="00B54356" w:rsidRDefault="000F4508" w:rsidP="002C7008">
            <w:pPr>
              <w:rPr>
                <w:rFonts w:ascii="Arial" w:hAnsi="Arial" w:cs="Arial"/>
                <w:sz w:val="22"/>
                <w:szCs w:val="22"/>
              </w:rPr>
            </w:pPr>
            <w:r>
              <w:rPr>
                <w:rFonts w:ascii="Arial" w:hAnsi="Arial" w:cs="Arial"/>
                <w:noProof/>
                <w:sz w:val="22"/>
                <w:szCs w:val="22"/>
              </w:rPr>
              <w:t>2013-2014</w:t>
            </w:r>
          </w:p>
        </w:tc>
        <w:tc>
          <w:tcPr>
            <w:tcW w:w="1682" w:type="pct"/>
            <w:gridSpan w:val="3"/>
            <w:tcBorders>
              <w:bottom w:val="single" w:sz="4" w:space="0" w:color="auto"/>
            </w:tcBorders>
            <w:shd w:val="clear" w:color="auto" w:fill="auto"/>
          </w:tcPr>
          <w:p w:rsidR="009F185E" w:rsidRPr="00B54356" w:rsidRDefault="000F4508" w:rsidP="001C2459">
            <w:pPr>
              <w:tabs>
                <w:tab w:val="left" w:pos="1120"/>
              </w:tabs>
              <w:rPr>
                <w:rFonts w:ascii="Arial" w:hAnsi="Arial" w:cs="Arial"/>
                <w:sz w:val="22"/>
                <w:szCs w:val="22"/>
              </w:rPr>
            </w:pPr>
            <w:r>
              <w:rPr>
                <w:rFonts w:ascii="Arial" w:hAnsi="Arial" w:cs="Arial"/>
                <w:sz w:val="22"/>
                <w:szCs w:val="22"/>
              </w:rPr>
              <w:t xml:space="preserve">By June 2014, all schools in the division with become familiar with, and </w:t>
            </w:r>
            <w:r>
              <w:rPr>
                <w:rFonts w:ascii="Arial" w:hAnsi="Arial" w:cs="Arial"/>
                <w:noProof/>
                <w:sz w:val="22"/>
                <w:szCs w:val="22"/>
              </w:rPr>
              <w:t xml:space="preserve">apply a CSH approach to </w:t>
            </w:r>
            <w:r w:rsidR="001C2459">
              <w:rPr>
                <w:rFonts w:ascii="Arial" w:hAnsi="Arial" w:cs="Arial"/>
                <w:noProof/>
                <w:sz w:val="22"/>
                <w:szCs w:val="22"/>
              </w:rPr>
              <w:t xml:space="preserve">improve youth health by addressing </w:t>
            </w:r>
            <w:r>
              <w:rPr>
                <w:rFonts w:ascii="Arial" w:hAnsi="Arial" w:cs="Arial"/>
                <w:noProof/>
                <w:sz w:val="22"/>
                <w:szCs w:val="22"/>
              </w:rPr>
              <w:t>at least one school health priority area.</w:t>
            </w:r>
          </w:p>
        </w:tc>
        <w:tc>
          <w:tcPr>
            <w:tcW w:w="2642" w:type="pct"/>
            <w:gridSpan w:val="2"/>
            <w:tcBorders>
              <w:bottom w:val="single" w:sz="4" w:space="0" w:color="auto"/>
              <w:right w:val="single" w:sz="24" w:space="0" w:color="auto"/>
            </w:tcBorders>
            <w:shd w:val="clear" w:color="auto" w:fill="auto"/>
          </w:tcPr>
          <w:p w:rsidR="009F185E" w:rsidRPr="00B54356" w:rsidRDefault="000F4508" w:rsidP="001C2459">
            <w:pPr>
              <w:rPr>
                <w:rFonts w:ascii="Arial" w:hAnsi="Arial" w:cs="Arial"/>
                <w:sz w:val="22"/>
                <w:szCs w:val="22"/>
              </w:rPr>
            </w:pPr>
            <w:r>
              <w:rPr>
                <w:rFonts w:ascii="Arial" w:hAnsi="Arial" w:cs="Arial"/>
                <w:sz w:val="22"/>
                <w:szCs w:val="22"/>
              </w:rPr>
              <w:t>A presentation on using a Comprehensive School Health approach was given to members from each Healthy Schools Team.  All schools in the division then analyzed their 2012 Youth Health Survey data to identify areas of strength and areas needing improvement.  Each school applied a Comprehensive School Health approach to the chosen priority area and reported to the Divisional Team on actions taken within each pillar</w:t>
            </w:r>
            <w:r w:rsidR="001C2459">
              <w:rPr>
                <w:rFonts w:ascii="Arial" w:hAnsi="Arial" w:cs="Arial"/>
                <w:sz w:val="22"/>
                <w:szCs w:val="22"/>
              </w:rPr>
              <w:t xml:space="preserve"> and their impact on improved youth health</w:t>
            </w:r>
            <w:r>
              <w:rPr>
                <w:rFonts w:ascii="Arial" w:hAnsi="Arial" w:cs="Arial"/>
                <w:sz w:val="22"/>
                <w:szCs w:val="22"/>
              </w:rPr>
              <w:t>.</w:t>
            </w:r>
          </w:p>
        </w:tc>
      </w:tr>
    </w:tbl>
    <w:p w:rsidR="00544329" w:rsidRDefault="00544329"/>
    <w:tbl>
      <w:tblPr>
        <w:tblStyle w:val="TableGrid"/>
        <w:tblW w:w="0" w:type="auto"/>
        <w:tblLayout w:type="fixed"/>
        <w:tblCellMar>
          <w:left w:w="115" w:type="dxa"/>
          <w:right w:w="115" w:type="dxa"/>
        </w:tblCellMar>
        <w:tblLook w:val="04A0"/>
      </w:tblPr>
      <w:tblGrid>
        <w:gridCol w:w="918"/>
        <w:gridCol w:w="1980"/>
        <w:gridCol w:w="5314"/>
        <w:gridCol w:w="5314"/>
        <w:gridCol w:w="5314"/>
      </w:tblGrid>
      <w:tr w:rsidR="00F9771B" w:rsidRPr="009F185E" w:rsidTr="009529E3">
        <w:trPr>
          <w:cantSplit/>
          <w:trHeight w:val="462"/>
        </w:trPr>
        <w:tc>
          <w:tcPr>
            <w:tcW w:w="918" w:type="dxa"/>
            <w:vMerge w:val="restart"/>
            <w:tcBorders>
              <w:top w:val="single" w:sz="24" w:space="0" w:color="auto"/>
              <w:left w:val="single" w:sz="24" w:space="0" w:color="auto"/>
              <w:right w:val="single" w:sz="24" w:space="0" w:color="auto"/>
            </w:tcBorders>
            <w:shd w:val="clear" w:color="auto" w:fill="auto"/>
            <w:textDirection w:val="btLr"/>
          </w:tcPr>
          <w:p w:rsidR="00F9771B" w:rsidRPr="009F185E" w:rsidRDefault="00F9771B" w:rsidP="009F185E">
            <w:pPr>
              <w:pStyle w:val="Heading2"/>
              <w:ind w:left="113" w:right="113"/>
              <w:rPr>
                <w:sz w:val="24"/>
                <w:szCs w:val="24"/>
              </w:rPr>
            </w:pPr>
            <w:r w:rsidRPr="009F185E">
              <w:rPr>
                <w:sz w:val="24"/>
                <w:szCs w:val="24"/>
              </w:rPr>
              <w:lastRenderedPageBreak/>
              <w:t>Step 4</w:t>
            </w:r>
          </w:p>
        </w:tc>
        <w:tc>
          <w:tcPr>
            <w:tcW w:w="5314" w:type="dxa"/>
            <w:gridSpan w:val="4"/>
            <w:tcBorders>
              <w:top w:val="single" w:sz="24" w:space="0" w:color="auto"/>
              <w:left w:val="single" w:sz="24" w:space="0" w:color="auto"/>
              <w:bottom w:val="nil"/>
              <w:right w:val="single" w:sz="24" w:space="0" w:color="auto"/>
            </w:tcBorders>
            <w:shd w:val="clear" w:color="auto" w:fill="D9D9D9" w:themeFill="background1" w:themeFillShade="D9"/>
          </w:tcPr>
          <w:p w:rsidR="00F9771B" w:rsidRDefault="00F9771B" w:rsidP="005F4100">
            <w:pPr>
              <w:rPr>
                <w:rFonts w:ascii="Arial" w:hAnsi="Arial" w:cs="Arial"/>
                <w:b/>
                <w:sz w:val="22"/>
              </w:rPr>
            </w:pPr>
            <w:r w:rsidRPr="009C0E48">
              <w:rPr>
                <w:rFonts w:ascii="Arial" w:hAnsi="Arial" w:cs="Arial"/>
                <w:b/>
                <w:sz w:val="22"/>
              </w:rPr>
              <w:t>2014</w:t>
            </w:r>
            <w:r>
              <w:rPr>
                <w:rFonts w:ascii="Arial" w:hAnsi="Arial" w:cs="Arial"/>
                <w:b/>
                <w:sz w:val="22"/>
              </w:rPr>
              <w:t>–</w:t>
            </w:r>
            <w:r w:rsidRPr="009C0E48">
              <w:rPr>
                <w:rFonts w:ascii="Arial" w:hAnsi="Arial" w:cs="Arial"/>
                <w:b/>
                <w:sz w:val="22"/>
              </w:rPr>
              <w:t>2015 Categorical Grants Plan</w:t>
            </w:r>
          </w:p>
          <w:p w:rsidR="00F9771B" w:rsidRPr="009F185E" w:rsidRDefault="00F9771B" w:rsidP="005F4100">
            <w:pPr>
              <w:rPr>
                <w:sz w:val="24"/>
                <w:szCs w:val="24"/>
              </w:rPr>
            </w:pPr>
          </w:p>
        </w:tc>
      </w:tr>
      <w:tr w:rsidR="00F9771B" w:rsidRPr="009F185E" w:rsidTr="009529E3">
        <w:trPr>
          <w:cantSplit/>
          <w:trHeight w:val="462"/>
        </w:trPr>
        <w:tc>
          <w:tcPr>
            <w:tcW w:w="918" w:type="dxa"/>
            <w:vMerge/>
            <w:tcBorders>
              <w:left w:val="single" w:sz="24" w:space="0" w:color="auto"/>
              <w:right w:val="single" w:sz="24" w:space="0" w:color="auto"/>
            </w:tcBorders>
            <w:shd w:val="clear" w:color="auto" w:fill="auto"/>
            <w:textDirection w:val="btLr"/>
          </w:tcPr>
          <w:p w:rsidR="00F9771B" w:rsidRPr="009F185E" w:rsidRDefault="00F9771B" w:rsidP="009F185E">
            <w:pPr>
              <w:pStyle w:val="Heading2"/>
              <w:ind w:left="113" w:right="113"/>
              <w:rPr>
                <w:sz w:val="24"/>
                <w:szCs w:val="24"/>
              </w:rPr>
            </w:pPr>
          </w:p>
        </w:tc>
        <w:tc>
          <w:tcPr>
            <w:tcW w:w="5314" w:type="dxa"/>
            <w:gridSpan w:val="2"/>
            <w:tcBorders>
              <w:top w:val="nil"/>
              <w:left w:val="single" w:sz="24" w:space="0" w:color="auto"/>
              <w:right w:val="nil"/>
            </w:tcBorders>
            <w:shd w:val="clear" w:color="auto" w:fill="D9D9D9" w:themeFill="background1" w:themeFillShade="D9"/>
          </w:tcPr>
          <w:p w:rsidR="00F9771B" w:rsidRPr="009C0E48" w:rsidRDefault="00F9771B" w:rsidP="005F4100">
            <w:pPr>
              <w:rPr>
                <w:rFonts w:ascii="Arial" w:hAnsi="Arial" w:cs="Arial"/>
                <w:b/>
                <w:sz w:val="22"/>
              </w:rPr>
            </w:pPr>
          </w:p>
        </w:tc>
        <w:tc>
          <w:tcPr>
            <w:tcW w:w="5314" w:type="dxa"/>
            <w:tcBorders>
              <w:top w:val="nil"/>
              <w:left w:val="nil"/>
              <w:bottom w:val="nil"/>
              <w:right w:val="nil"/>
            </w:tcBorders>
            <w:shd w:val="clear" w:color="auto" w:fill="D9D9D9" w:themeFill="background1" w:themeFillShade="D9"/>
          </w:tcPr>
          <w:p w:rsidR="00F9771B" w:rsidRPr="00F9771B" w:rsidRDefault="00F9771B" w:rsidP="00B2353E">
            <w:pPr>
              <w:ind w:left="720" w:hanging="720"/>
              <w:rPr>
                <w:rFonts w:ascii="Arial" w:hAnsi="Arial" w:cs="Arial"/>
                <w:i/>
                <w:sz w:val="22"/>
              </w:rPr>
            </w:pPr>
            <w:r w:rsidRPr="00F9771B">
              <w:rPr>
                <w:rFonts w:ascii="Arial" w:hAnsi="Arial" w:cs="Arial"/>
                <w:b/>
                <w:i/>
                <w:sz w:val="22"/>
              </w:rPr>
              <w:t>Note:</w:t>
            </w:r>
            <w:r w:rsidRPr="00F9771B">
              <w:rPr>
                <w:rFonts w:ascii="Arial" w:hAnsi="Arial" w:cs="Arial"/>
                <w:i/>
                <w:sz w:val="22"/>
              </w:rPr>
              <w:t xml:space="preserve"> </w:t>
            </w:r>
            <w:r>
              <w:rPr>
                <w:rFonts w:ascii="Arial" w:hAnsi="Arial" w:cs="Arial"/>
                <w:i/>
                <w:sz w:val="22"/>
              </w:rPr>
              <w:tab/>
            </w:r>
            <w:r w:rsidRPr="00F9771B">
              <w:rPr>
                <w:rFonts w:ascii="Arial" w:hAnsi="Arial" w:cs="Arial"/>
                <w:i/>
                <w:sz w:val="22"/>
              </w:rPr>
              <w:t>Data Sources and Indicators columns are now combined to facilitate linkage of reporting in these areas.</w:t>
            </w:r>
          </w:p>
        </w:tc>
        <w:tc>
          <w:tcPr>
            <w:tcW w:w="5314" w:type="dxa"/>
            <w:tcBorders>
              <w:top w:val="nil"/>
              <w:left w:val="nil"/>
              <w:right w:val="single" w:sz="24" w:space="0" w:color="auto"/>
            </w:tcBorders>
            <w:shd w:val="clear" w:color="auto" w:fill="D9D9D9" w:themeFill="background1" w:themeFillShade="D9"/>
          </w:tcPr>
          <w:p w:rsidR="00F9771B" w:rsidRPr="009C0E48" w:rsidRDefault="00F9771B" w:rsidP="00F9771B">
            <w:pPr>
              <w:rPr>
                <w:rFonts w:ascii="Arial" w:hAnsi="Arial" w:cs="Arial"/>
                <w:b/>
                <w:sz w:val="22"/>
              </w:rPr>
            </w:pPr>
          </w:p>
        </w:tc>
      </w:tr>
      <w:tr w:rsidR="00F9771B" w:rsidRPr="009F185E" w:rsidTr="009529E3">
        <w:trPr>
          <w:trHeight w:val="693"/>
        </w:trPr>
        <w:tc>
          <w:tcPr>
            <w:tcW w:w="918" w:type="dxa"/>
            <w:vMerge/>
            <w:tcBorders>
              <w:left w:val="single" w:sz="24" w:space="0" w:color="auto"/>
              <w:right w:val="single" w:sz="24" w:space="0" w:color="auto"/>
            </w:tcBorders>
            <w:shd w:val="clear" w:color="auto" w:fill="auto"/>
          </w:tcPr>
          <w:p w:rsidR="00F9771B" w:rsidRPr="009F185E" w:rsidRDefault="00F9771B" w:rsidP="009F185E">
            <w:pPr>
              <w:pStyle w:val="Heading2"/>
              <w:ind w:left="113" w:right="113"/>
              <w:rPr>
                <w:sz w:val="24"/>
                <w:szCs w:val="24"/>
              </w:rPr>
            </w:pPr>
          </w:p>
        </w:tc>
        <w:tc>
          <w:tcPr>
            <w:tcW w:w="1980" w:type="dxa"/>
            <w:tcBorders>
              <w:left w:val="single" w:sz="24" w:space="0" w:color="auto"/>
            </w:tcBorders>
            <w:shd w:val="clear" w:color="auto" w:fill="auto"/>
            <w:vAlign w:val="center"/>
          </w:tcPr>
          <w:p w:rsidR="00F9771B" w:rsidRPr="009C0E48" w:rsidRDefault="00AD3EBF" w:rsidP="002364AC">
            <w:pPr>
              <w:rPr>
                <w:rFonts w:ascii="Arial" w:hAnsi="Arial" w:cs="Arial"/>
                <w:b/>
                <w:sz w:val="22"/>
              </w:rPr>
            </w:pPr>
            <w:r>
              <w:rPr>
                <w:rFonts w:ascii="Arial" w:hAnsi="Arial" w:cs="Arial"/>
                <w:b/>
                <w:sz w:val="22"/>
              </w:rPr>
              <w:t>Grant</w:t>
            </w:r>
          </w:p>
        </w:tc>
        <w:tc>
          <w:tcPr>
            <w:tcW w:w="5314" w:type="dxa"/>
            <w:shd w:val="clear" w:color="auto" w:fill="auto"/>
            <w:vAlign w:val="center"/>
          </w:tcPr>
          <w:p w:rsidR="00F9771B" w:rsidRDefault="00F9771B" w:rsidP="002364AC">
            <w:pPr>
              <w:rPr>
                <w:rFonts w:ascii="Arial" w:hAnsi="Arial" w:cs="Arial"/>
                <w:b/>
                <w:sz w:val="22"/>
              </w:rPr>
            </w:pPr>
            <w:r w:rsidRPr="009C0E48">
              <w:rPr>
                <w:rFonts w:ascii="Arial" w:hAnsi="Arial" w:cs="Arial"/>
                <w:b/>
                <w:sz w:val="22"/>
              </w:rPr>
              <w:t xml:space="preserve">Expected </w:t>
            </w:r>
            <w:r>
              <w:rPr>
                <w:rFonts w:ascii="Arial" w:hAnsi="Arial" w:cs="Arial"/>
                <w:b/>
                <w:sz w:val="22"/>
              </w:rPr>
              <w:t>Learner Outcomes</w:t>
            </w:r>
            <w:r w:rsidRPr="009C0E48">
              <w:rPr>
                <w:rFonts w:ascii="Arial" w:hAnsi="Arial" w:cs="Arial"/>
                <w:b/>
                <w:sz w:val="22"/>
              </w:rPr>
              <w:t xml:space="preserve">: </w:t>
            </w:r>
          </w:p>
          <w:p w:rsidR="00F9771B" w:rsidRDefault="00F9771B" w:rsidP="002364AC">
            <w:pPr>
              <w:rPr>
                <w:rFonts w:ascii="Arial" w:hAnsi="Arial" w:cs="Arial"/>
                <w:b/>
                <w:sz w:val="22"/>
              </w:rPr>
            </w:pPr>
          </w:p>
          <w:p w:rsidR="00F9771B" w:rsidRPr="009C0E48" w:rsidRDefault="00F9771B" w:rsidP="0044095A">
            <w:pPr>
              <w:rPr>
                <w:rFonts w:ascii="Arial" w:hAnsi="Arial" w:cs="Arial"/>
                <w:b/>
                <w:sz w:val="22"/>
              </w:rPr>
            </w:pPr>
            <w:r w:rsidRPr="009C0E48">
              <w:rPr>
                <w:rFonts w:ascii="Arial" w:hAnsi="Arial" w:cs="Arial"/>
                <w:b/>
                <w:sz w:val="22"/>
              </w:rPr>
              <w:t xml:space="preserve">What are the benefits </w:t>
            </w:r>
            <w:r w:rsidR="0044095A" w:rsidRPr="009C0E48">
              <w:rPr>
                <w:rFonts w:ascii="Arial" w:hAnsi="Arial" w:cs="Arial"/>
                <w:b/>
                <w:sz w:val="22"/>
              </w:rPr>
              <w:t xml:space="preserve">(specific, measurable, achievable, relevant, </w:t>
            </w:r>
            <w:proofErr w:type="gramStart"/>
            <w:r w:rsidR="0044095A" w:rsidRPr="009C0E48">
              <w:rPr>
                <w:rFonts w:ascii="Arial" w:hAnsi="Arial" w:cs="Arial"/>
                <w:b/>
                <w:sz w:val="22"/>
              </w:rPr>
              <w:t>timely</w:t>
            </w:r>
            <w:proofErr w:type="gramEnd"/>
            <w:r w:rsidR="0044095A" w:rsidRPr="009C0E48">
              <w:rPr>
                <w:rFonts w:ascii="Arial" w:hAnsi="Arial" w:cs="Arial"/>
                <w:b/>
                <w:sz w:val="22"/>
              </w:rPr>
              <w:t>)</w:t>
            </w:r>
            <w:r w:rsidR="0044095A">
              <w:rPr>
                <w:rFonts w:ascii="Arial" w:hAnsi="Arial" w:cs="Arial"/>
                <w:b/>
                <w:sz w:val="22"/>
              </w:rPr>
              <w:t xml:space="preserve"> </w:t>
            </w:r>
            <w:r w:rsidRPr="009C0E48">
              <w:rPr>
                <w:rFonts w:ascii="Arial" w:hAnsi="Arial" w:cs="Arial"/>
                <w:b/>
                <w:sz w:val="22"/>
              </w:rPr>
              <w:t xml:space="preserve">for the learners? </w:t>
            </w:r>
          </w:p>
        </w:tc>
        <w:tc>
          <w:tcPr>
            <w:tcW w:w="5314" w:type="dxa"/>
            <w:tcBorders>
              <w:right w:val="single" w:sz="4" w:space="0" w:color="auto"/>
            </w:tcBorders>
            <w:shd w:val="clear" w:color="auto" w:fill="auto"/>
            <w:vAlign w:val="center"/>
          </w:tcPr>
          <w:p w:rsidR="00F9771B" w:rsidRDefault="00F9771B" w:rsidP="002364AC">
            <w:pPr>
              <w:rPr>
                <w:rFonts w:ascii="Arial" w:hAnsi="Arial" w:cs="Arial"/>
                <w:b/>
                <w:sz w:val="22"/>
              </w:rPr>
            </w:pPr>
            <w:r>
              <w:rPr>
                <w:rFonts w:ascii="Arial" w:hAnsi="Arial" w:cs="Arial"/>
                <w:b/>
                <w:sz w:val="22"/>
              </w:rPr>
              <w:t xml:space="preserve">Data Sources and </w:t>
            </w:r>
            <w:r w:rsidRPr="009C0E48">
              <w:rPr>
                <w:rFonts w:ascii="Arial" w:hAnsi="Arial" w:cs="Arial"/>
                <w:b/>
                <w:sz w:val="22"/>
              </w:rPr>
              <w:t xml:space="preserve">Indicators: </w:t>
            </w:r>
          </w:p>
          <w:p w:rsidR="00F9771B" w:rsidRDefault="00F9771B" w:rsidP="002364AC">
            <w:pPr>
              <w:rPr>
                <w:rFonts w:ascii="Arial" w:hAnsi="Arial" w:cs="Arial"/>
                <w:b/>
                <w:sz w:val="22"/>
              </w:rPr>
            </w:pPr>
          </w:p>
          <w:p w:rsidR="00F9771B" w:rsidRPr="009C0E48" w:rsidRDefault="00F9771B" w:rsidP="002364AC">
            <w:pPr>
              <w:rPr>
                <w:rFonts w:ascii="Arial" w:hAnsi="Arial" w:cs="Arial"/>
                <w:b/>
                <w:sz w:val="22"/>
              </w:rPr>
            </w:pPr>
            <w:r>
              <w:rPr>
                <w:rFonts w:ascii="Arial" w:hAnsi="Arial" w:cs="Arial"/>
                <w:b/>
                <w:sz w:val="22"/>
              </w:rPr>
              <w:t>Based on quantitative/qualitative data sources, what (measurable) evidence will show achievement of outcomes?</w:t>
            </w:r>
          </w:p>
        </w:tc>
        <w:tc>
          <w:tcPr>
            <w:tcW w:w="5238" w:type="dxa"/>
            <w:tcBorders>
              <w:left w:val="single" w:sz="4" w:space="0" w:color="auto"/>
              <w:right w:val="single" w:sz="24" w:space="0" w:color="auto"/>
            </w:tcBorders>
            <w:shd w:val="clear" w:color="auto" w:fill="auto"/>
            <w:vAlign w:val="center"/>
          </w:tcPr>
          <w:p w:rsidR="00F9771B" w:rsidRDefault="00F9771B" w:rsidP="002364AC">
            <w:pPr>
              <w:rPr>
                <w:rFonts w:ascii="Arial" w:hAnsi="Arial" w:cs="Arial"/>
                <w:b/>
                <w:sz w:val="22"/>
              </w:rPr>
            </w:pPr>
            <w:r w:rsidRPr="009C0E48">
              <w:rPr>
                <w:rFonts w:ascii="Arial" w:hAnsi="Arial" w:cs="Arial"/>
                <w:b/>
                <w:sz w:val="22"/>
              </w:rPr>
              <w:t xml:space="preserve">Strategies: </w:t>
            </w:r>
          </w:p>
          <w:p w:rsidR="00F9771B" w:rsidRDefault="00F9771B" w:rsidP="002364AC">
            <w:pPr>
              <w:rPr>
                <w:rFonts w:ascii="Arial" w:hAnsi="Arial" w:cs="Arial"/>
                <w:b/>
                <w:sz w:val="22"/>
              </w:rPr>
            </w:pPr>
          </w:p>
          <w:p w:rsidR="00F9771B" w:rsidRPr="009C0E48" w:rsidRDefault="00F9771B" w:rsidP="002364AC">
            <w:pPr>
              <w:rPr>
                <w:rFonts w:ascii="Arial" w:hAnsi="Arial" w:cs="Arial"/>
                <w:b/>
                <w:sz w:val="22"/>
              </w:rPr>
            </w:pPr>
            <w:r w:rsidRPr="009C0E48">
              <w:rPr>
                <w:rFonts w:ascii="Arial" w:hAnsi="Arial" w:cs="Arial"/>
                <w:b/>
                <w:sz w:val="22"/>
              </w:rPr>
              <w:t>What actions will be implemented to achieve outcomes?</w:t>
            </w:r>
          </w:p>
        </w:tc>
      </w:tr>
      <w:tr w:rsidR="00AD3EBF" w:rsidRPr="009F185E" w:rsidTr="009529E3">
        <w:trPr>
          <w:trHeight w:val="1008"/>
        </w:trPr>
        <w:tc>
          <w:tcPr>
            <w:tcW w:w="918" w:type="dxa"/>
            <w:vMerge/>
            <w:tcBorders>
              <w:left w:val="single" w:sz="24" w:space="0" w:color="auto"/>
              <w:right w:val="single" w:sz="24" w:space="0" w:color="auto"/>
            </w:tcBorders>
            <w:shd w:val="clear" w:color="auto" w:fill="auto"/>
          </w:tcPr>
          <w:p w:rsidR="00AD3EBF" w:rsidRPr="009F185E" w:rsidRDefault="00AD3EBF" w:rsidP="009F185E">
            <w:pPr>
              <w:pStyle w:val="Heading2"/>
              <w:ind w:left="113" w:right="113"/>
              <w:rPr>
                <w:sz w:val="24"/>
                <w:szCs w:val="24"/>
              </w:rPr>
            </w:pPr>
          </w:p>
        </w:tc>
        <w:tc>
          <w:tcPr>
            <w:tcW w:w="1980" w:type="dxa"/>
            <w:vMerge w:val="restart"/>
            <w:tcBorders>
              <w:left w:val="single" w:sz="24" w:space="0" w:color="auto"/>
            </w:tcBorders>
            <w:shd w:val="clear" w:color="auto" w:fill="auto"/>
            <w:vAlign w:val="center"/>
          </w:tcPr>
          <w:p w:rsidR="00AD3EBF" w:rsidRPr="00B54356" w:rsidRDefault="000F4508" w:rsidP="00B54356">
            <w:pPr>
              <w:pStyle w:val="Heading2"/>
              <w:ind w:left="113" w:right="113"/>
              <w:jc w:val="left"/>
              <w:rPr>
                <w:rFonts w:ascii="Arial" w:hAnsi="Arial" w:cs="Arial"/>
                <w:sz w:val="22"/>
                <w:szCs w:val="22"/>
              </w:rPr>
            </w:pPr>
            <w:r>
              <w:rPr>
                <w:rFonts w:ascii="Arial" w:hAnsi="Arial" w:cs="Arial"/>
                <w:sz w:val="22"/>
                <w:szCs w:val="22"/>
              </w:rPr>
              <w:t>Healthy Schools</w:t>
            </w:r>
          </w:p>
        </w:tc>
        <w:tc>
          <w:tcPr>
            <w:tcW w:w="5314" w:type="dxa"/>
            <w:shd w:val="clear" w:color="auto" w:fill="auto"/>
          </w:tcPr>
          <w:p w:rsidR="00AD3EBF" w:rsidRPr="00B54356" w:rsidRDefault="000F4508" w:rsidP="00B44931">
            <w:r>
              <w:rPr>
                <w:rFonts w:ascii="Arial" w:hAnsi="Arial" w:cs="Arial"/>
                <w:sz w:val="22"/>
                <w:szCs w:val="22"/>
              </w:rPr>
              <w:t>By June 2015, each school will fill out the JCSH Healthy School Planner (Foundational Module) to understand, assess, and build a plan for improving the health of the school, as research shows a correlation between positive health behaviours and increased student achievement.</w:t>
            </w:r>
          </w:p>
        </w:tc>
        <w:tc>
          <w:tcPr>
            <w:tcW w:w="5314" w:type="dxa"/>
            <w:tcBorders>
              <w:right w:val="single" w:sz="6" w:space="0" w:color="auto"/>
            </w:tcBorders>
            <w:shd w:val="clear" w:color="auto" w:fill="auto"/>
          </w:tcPr>
          <w:p w:rsidR="000F4508" w:rsidRDefault="000F4508" w:rsidP="00B44931">
            <w:r>
              <w:rPr>
                <w:rFonts w:ascii="Arial" w:hAnsi="Arial" w:cs="Arial"/>
                <w:sz w:val="22"/>
                <w:szCs w:val="22"/>
              </w:rPr>
              <w:t>By completing the Healthy School Planner, schools will be introduced to using a Comprehensive School Health approach, and the process used in healthy school planning. A 4-point rubric with results will be generated based on the answers of each school, which will be used to identify key areas of improvement.</w:t>
            </w:r>
          </w:p>
          <w:p w:rsidR="00AD3EBF" w:rsidRPr="000F4508" w:rsidRDefault="00AD3EBF" w:rsidP="000F4508"/>
        </w:tc>
        <w:tc>
          <w:tcPr>
            <w:tcW w:w="5238" w:type="dxa"/>
            <w:tcBorders>
              <w:left w:val="single" w:sz="6" w:space="0" w:color="auto"/>
              <w:right w:val="single" w:sz="24" w:space="0" w:color="auto"/>
            </w:tcBorders>
            <w:shd w:val="clear" w:color="auto" w:fill="auto"/>
          </w:tcPr>
          <w:p w:rsidR="000F4508" w:rsidRDefault="000F4508" w:rsidP="000F4508">
            <w:pPr>
              <w:pStyle w:val="Heading2"/>
              <w:ind w:left="113" w:right="113"/>
              <w:jc w:val="left"/>
              <w:rPr>
                <w:rFonts w:ascii="Arial" w:hAnsi="Arial" w:cs="Arial"/>
                <w:noProof/>
                <w:sz w:val="22"/>
                <w:szCs w:val="22"/>
              </w:rPr>
            </w:pPr>
            <w:r>
              <w:rPr>
                <w:rFonts w:ascii="Arial" w:hAnsi="Arial" w:cs="Arial"/>
                <w:sz w:val="22"/>
                <w:szCs w:val="22"/>
              </w:rPr>
              <w:t>Each school will complete the Healthy School Planner A</w:t>
            </w:r>
            <w:r>
              <w:rPr>
                <w:rFonts w:ascii="Arial" w:hAnsi="Arial" w:cs="Arial"/>
                <w:noProof/>
                <w:sz w:val="22"/>
                <w:szCs w:val="22"/>
              </w:rPr>
              <w:t>ction Planning Worksheet with at least one SMART goal related to an identified priority area.  These will be submitted to the Divisional Healthy Schools Team to help develop improvement based initiatives.</w:t>
            </w:r>
          </w:p>
          <w:p w:rsidR="00AD3EBF" w:rsidRPr="00B54356" w:rsidRDefault="00AD3EBF" w:rsidP="00B44931"/>
        </w:tc>
      </w:tr>
      <w:tr w:rsidR="00AD3EBF" w:rsidRPr="009F185E" w:rsidTr="009529E3">
        <w:trPr>
          <w:trHeight w:val="1008"/>
        </w:trPr>
        <w:tc>
          <w:tcPr>
            <w:tcW w:w="918" w:type="dxa"/>
            <w:vMerge/>
            <w:tcBorders>
              <w:left w:val="single" w:sz="24" w:space="0" w:color="auto"/>
              <w:right w:val="single" w:sz="24" w:space="0" w:color="auto"/>
            </w:tcBorders>
            <w:shd w:val="clear" w:color="auto" w:fill="auto"/>
          </w:tcPr>
          <w:p w:rsidR="00AD3EBF" w:rsidRPr="009F185E" w:rsidRDefault="00AD3EBF" w:rsidP="009F185E">
            <w:pPr>
              <w:pStyle w:val="Heading2"/>
              <w:ind w:left="113" w:right="113"/>
              <w:rPr>
                <w:sz w:val="24"/>
                <w:szCs w:val="24"/>
              </w:rPr>
            </w:pPr>
          </w:p>
        </w:tc>
        <w:tc>
          <w:tcPr>
            <w:tcW w:w="1980" w:type="dxa"/>
            <w:vMerge/>
            <w:tcBorders>
              <w:left w:val="single" w:sz="24" w:space="0" w:color="auto"/>
            </w:tcBorders>
            <w:shd w:val="clear" w:color="auto" w:fill="auto"/>
            <w:vAlign w:val="center"/>
          </w:tcPr>
          <w:p w:rsidR="00AD3EBF" w:rsidRPr="00B54356" w:rsidRDefault="00AD3EBF" w:rsidP="00B54356">
            <w:pPr>
              <w:pStyle w:val="Heading2"/>
              <w:ind w:left="113" w:right="113"/>
              <w:jc w:val="left"/>
              <w:rPr>
                <w:rFonts w:ascii="Arial" w:hAnsi="Arial" w:cs="Arial"/>
                <w:sz w:val="22"/>
                <w:szCs w:val="22"/>
              </w:rPr>
            </w:pPr>
          </w:p>
        </w:tc>
        <w:tc>
          <w:tcPr>
            <w:tcW w:w="5314" w:type="dxa"/>
            <w:tcBorders>
              <w:right w:val="single" w:sz="6" w:space="0" w:color="auto"/>
            </w:tcBorders>
            <w:shd w:val="clear" w:color="auto" w:fill="auto"/>
          </w:tcPr>
          <w:p w:rsidR="00AD3EBF" w:rsidRPr="00B54356" w:rsidRDefault="000F4508" w:rsidP="00B44931">
            <w:r>
              <w:rPr>
                <w:rFonts w:ascii="Arial" w:hAnsi="Arial" w:cs="Arial"/>
                <w:sz w:val="22"/>
                <w:szCs w:val="22"/>
              </w:rPr>
              <w:t>By June 2015, students will experience improved outcomes in positive mental health through addressing health in a planned, integrated and holistic way by using the JCSH Positive Mental Health Toolkit.</w:t>
            </w:r>
          </w:p>
        </w:tc>
        <w:tc>
          <w:tcPr>
            <w:tcW w:w="5314" w:type="dxa"/>
            <w:tcBorders>
              <w:left w:val="single" w:sz="6" w:space="0" w:color="auto"/>
              <w:right w:val="single" w:sz="6" w:space="0" w:color="auto"/>
            </w:tcBorders>
            <w:shd w:val="clear" w:color="auto" w:fill="auto"/>
          </w:tcPr>
          <w:p w:rsidR="00AD3EBF" w:rsidRPr="00B54356" w:rsidRDefault="000F4508" w:rsidP="00AE731E">
            <w:r>
              <w:rPr>
                <w:rFonts w:ascii="Arial" w:hAnsi="Arial" w:cs="Arial"/>
                <w:sz w:val="22"/>
                <w:szCs w:val="22"/>
              </w:rPr>
              <w:t>Each school will identify areas for improvement/gaps in the 4 pillars of Comprehensive School Health based on the results of the Toolkit.</w:t>
            </w:r>
            <w:r w:rsidR="00A2777B">
              <w:rPr>
                <w:rFonts w:ascii="Arial" w:hAnsi="Arial" w:cs="Arial"/>
                <w:sz w:val="22"/>
                <w:szCs w:val="22"/>
              </w:rPr>
              <w:t xml:space="preserve">  Actions will be implemented to address the targeted improvement areas.</w:t>
            </w:r>
            <w:r>
              <w:rPr>
                <w:rFonts w:ascii="Arial" w:hAnsi="Arial" w:cs="Arial"/>
                <w:sz w:val="22"/>
                <w:szCs w:val="22"/>
              </w:rPr>
              <w:t xml:space="preserve">  Data collected from the Youth Health Survey, Tell Them From Me, and anecdotal feedback from teachers</w:t>
            </w:r>
            <w:r w:rsidR="00AE731E">
              <w:rPr>
                <w:rFonts w:ascii="Arial" w:hAnsi="Arial" w:cs="Arial"/>
                <w:sz w:val="22"/>
                <w:szCs w:val="22"/>
              </w:rPr>
              <w:t xml:space="preserve"> will provide </w:t>
            </w:r>
            <w:r w:rsidR="002C2399">
              <w:rPr>
                <w:rFonts w:ascii="Arial" w:hAnsi="Arial" w:cs="Arial"/>
                <w:sz w:val="22"/>
                <w:szCs w:val="22"/>
              </w:rPr>
              <w:t>evidence of improved student mental health</w:t>
            </w:r>
            <w:r>
              <w:rPr>
                <w:rFonts w:ascii="Arial" w:hAnsi="Arial" w:cs="Arial"/>
                <w:sz w:val="22"/>
                <w:szCs w:val="22"/>
              </w:rPr>
              <w:t>.</w:t>
            </w:r>
          </w:p>
        </w:tc>
        <w:tc>
          <w:tcPr>
            <w:tcW w:w="5238" w:type="dxa"/>
            <w:tcBorders>
              <w:left w:val="single" w:sz="6" w:space="0" w:color="auto"/>
              <w:right w:val="single" w:sz="24" w:space="0" w:color="auto"/>
            </w:tcBorders>
            <w:shd w:val="clear" w:color="auto" w:fill="auto"/>
          </w:tcPr>
          <w:p w:rsidR="00AD3EBF" w:rsidRPr="00B54356" w:rsidRDefault="000F4508" w:rsidP="00B44931">
            <w:bookmarkStart w:id="0" w:name="Text25"/>
            <w:r>
              <w:rPr>
                <w:rFonts w:ascii="Arial" w:hAnsi="Arial" w:cs="Arial"/>
                <w:noProof/>
                <w:sz w:val="22"/>
                <w:szCs w:val="22"/>
              </w:rPr>
              <w:t>The Divisional Healthy Schools Team will work with schools to ensure that school teams are established and use the data from the toolkit to facititate improvement based initiatives in all 4 pillars of Comprehensive School Health.</w:t>
            </w:r>
          </w:p>
          <w:bookmarkEnd w:id="0"/>
          <w:p w:rsidR="00AD3EBF" w:rsidRPr="00B54356" w:rsidRDefault="00AD3EBF" w:rsidP="00B44931"/>
        </w:tc>
      </w:tr>
      <w:tr w:rsidR="00AD3EBF" w:rsidRPr="009F185E" w:rsidTr="009529E3">
        <w:trPr>
          <w:trHeight w:val="1008"/>
        </w:trPr>
        <w:tc>
          <w:tcPr>
            <w:tcW w:w="918" w:type="dxa"/>
            <w:vMerge/>
            <w:tcBorders>
              <w:left w:val="single" w:sz="24" w:space="0" w:color="auto"/>
              <w:bottom w:val="single" w:sz="24" w:space="0" w:color="auto"/>
              <w:right w:val="single" w:sz="24" w:space="0" w:color="auto"/>
            </w:tcBorders>
            <w:shd w:val="clear" w:color="auto" w:fill="auto"/>
          </w:tcPr>
          <w:p w:rsidR="00AD3EBF" w:rsidRPr="009F185E" w:rsidRDefault="00AD3EBF" w:rsidP="009F185E">
            <w:pPr>
              <w:pStyle w:val="Heading2"/>
              <w:ind w:left="113" w:right="113"/>
              <w:rPr>
                <w:sz w:val="24"/>
                <w:szCs w:val="24"/>
              </w:rPr>
            </w:pPr>
          </w:p>
        </w:tc>
        <w:tc>
          <w:tcPr>
            <w:tcW w:w="1980" w:type="dxa"/>
            <w:vMerge/>
            <w:tcBorders>
              <w:left w:val="single" w:sz="24" w:space="0" w:color="auto"/>
              <w:bottom w:val="single" w:sz="24" w:space="0" w:color="auto"/>
            </w:tcBorders>
            <w:shd w:val="clear" w:color="auto" w:fill="auto"/>
            <w:vAlign w:val="center"/>
          </w:tcPr>
          <w:p w:rsidR="00AD3EBF" w:rsidRPr="00B54356" w:rsidRDefault="00AD3EBF" w:rsidP="00B54356">
            <w:pPr>
              <w:pStyle w:val="Heading2"/>
              <w:ind w:left="113" w:right="113"/>
              <w:jc w:val="left"/>
              <w:rPr>
                <w:rFonts w:ascii="Arial" w:hAnsi="Arial" w:cs="Arial"/>
                <w:sz w:val="22"/>
                <w:szCs w:val="22"/>
              </w:rPr>
            </w:pPr>
          </w:p>
        </w:tc>
        <w:tc>
          <w:tcPr>
            <w:tcW w:w="5314" w:type="dxa"/>
            <w:tcBorders>
              <w:bottom w:val="single" w:sz="24" w:space="0" w:color="auto"/>
              <w:right w:val="single" w:sz="6" w:space="0" w:color="auto"/>
            </w:tcBorders>
            <w:shd w:val="clear" w:color="auto" w:fill="auto"/>
          </w:tcPr>
          <w:p w:rsidR="00AD3EBF" w:rsidRPr="00B54356" w:rsidRDefault="000F4508" w:rsidP="00AE731E">
            <w:r>
              <w:rPr>
                <w:rFonts w:ascii="Arial" w:hAnsi="Arial" w:cs="Arial"/>
                <w:noProof/>
                <w:sz w:val="22"/>
                <w:szCs w:val="22"/>
              </w:rPr>
              <w:t xml:space="preserve">By June 2015, the range and quality of physical activity opportunities being </w:t>
            </w:r>
            <w:r w:rsidR="00AE731E">
              <w:rPr>
                <w:rFonts w:ascii="Arial" w:hAnsi="Arial" w:cs="Arial"/>
                <w:noProof/>
                <w:sz w:val="22"/>
                <w:szCs w:val="22"/>
              </w:rPr>
              <w:t>accessed by</w:t>
            </w:r>
            <w:r>
              <w:rPr>
                <w:rFonts w:ascii="Arial" w:hAnsi="Arial" w:cs="Arial"/>
                <w:noProof/>
                <w:sz w:val="22"/>
                <w:szCs w:val="22"/>
              </w:rPr>
              <w:t xml:space="preserve"> students will be increased</w:t>
            </w:r>
            <w:r w:rsidR="00AE731E">
              <w:rPr>
                <w:rFonts w:ascii="Arial" w:hAnsi="Arial" w:cs="Arial"/>
                <w:noProof/>
                <w:sz w:val="22"/>
                <w:szCs w:val="22"/>
              </w:rPr>
              <w:t xml:space="preserve"> and student health will improve particularly in the physical domain</w:t>
            </w:r>
          </w:p>
        </w:tc>
        <w:tc>
          <w:tcPr>
            <w:tcW w:w="5314" w:type="dxa"/>
            <w:tcBorders>
              <w:left w:val="single" w:sz="6" w:space="0" w:color="auto"/>
              <w:bottom w:val="single" w:sz="24" w:space="0" w:color="auto"/>
              <w:right w:val="single" w:sz="6" w:space="0" w:color="auto"/>
            </w:tcBorders>
            <w:shd w:val="clear" w:color="auto" w:fill="auto"/>
          </w:tcPr>
          <w:p w:rsidR="00AD3EBF" w:rsidRPr="00B54356" w:rsidRDefault="000F4508" w:rsidP="00B44931">
            <w:r>
              <w:rPr>
                <w:rFonts w:ascii="Arial" w:hAnsi="Arial" w:cs="Arial"/>
                <w:sz w:val="22"/>
                <w:szCs w:val="22"/>
              </w:rPr>
              <w:t>A program review which will outline the innovation and number of activity opportunities will be conducted at the end of the school year, and compared to change in past practice. Anecdotal feedback from students and teachers will also be collected</w:t>
            </w:r>
            <w:r w:rsidR="00554805">
              <w:rPr>
                <w:rFonts w:ascii="Arial" w:hAnsi="Arial" w:cs="Arial"/>
                <w:sz w:val="22"/>
                <w:szCs w:val="22"/>
              </w:rPr>
              <w:t xml:space="preserve"> and will provide evidence of improved student health</w:t>
            </w:r>
            <w:r>
              <w:rPr>
                <w:rFonts w:ascii="Arial" w:hAnsi="Arial" w:cs="Arial"/>
                <w:sz w:val="22"/>
                <w:szCs w:val="22"/>
              </w:rPr>
              <w:t>.</w:t>
            </w:r>
          </w:p>
        </w:tc>
        <w:tc>
          <w:tcPr>
            <w:tcW w:w="5238" w:type="dxa"/>
            <w:tcBorders>
              <w:left w:val="single" w:sz="6" w:space="0" w:color="auto"/>
              <w:bottom w:val="single" w:sz="24" w:space="0" w:color="auto"/>
              <w:right w:val="single" w:sz="24" w:space="0" w:color="auto"/>
            </w:tcBorders>
            <w:shd w:val="clear" w:color="auto" w:fill="auto"/>
          </w:tcPr>
          <w:p w:rsidR="00AD3EBF" w:rsidRPr="00B54356" w:rsidRDefault="000F4508" w:rsidP="00554805">
            <w:r>
              <w:rPr>
                <w:rFonts w:ascii="Arial" w:hAnsi="Arial" w:cs="Arial"/>
                <w:sz w:val="22"/>
                <w:szCs w:val="22"/>
              </w:rPr>
              <w:t xml:space="preserve">New physical activity opportunities will be identified and implemented in schools.  Equipment to support this will be made available and/or purchased.  Professional development will be </w:t>
            </w:r>
            <w:r>
              <w:rPr>
                <w:rFonts w:ascii="Arial" w:hAnsi="Arial" w:cs="Arial"/>
                <w:noProof/>
                <w:sz w:val="22"/>
                <w:szCs w:val="22"/>
              </w:rPr>
              <w:t>offered and supported so   teachers can improve the learning opportunities for their students</w:t>
            </w:r>
          </w:p>
        </w:tc>
      </w:tr>
      <w:tr w:rsidR="00E05ED1" w:rsidRPr="009F185E" w:rsidTr="009529E3">
        <w:trPr>
          <w:trHeight w:val="693"/>
        </w:trPr>
        <w:tc>
          <w:tcPr>
            <w:tcW w:w="2898" w:type="dxa"/>
            <w:gridSpan w:val="2"/>
            <w:tcBorders>
              <w:left w:val="single" w:sz="24" w:space="0" w:color="auto"/>
              <w:bottom w:val="single" w:sz="24" w:space="0" w:color="auto"/>
            </w:tcBorders>
            <w:shd w:val="clear" w:color="auto" w:fill="auto"/>
            <w:vAlign w:val="center"/>
          </w:tcPr>
          <w:p w:rsidR="00E05ED1" w:rsidRPr="009F185E" w:rsidRDefault="00E05ED1" w:rsidP="00757F74">
            <w:pPr>
              <w:pStyle w:val="Heading2"/>
              <w:ind w:left="113" w:right="113"/>
              <w:jc w:val="left"/>
              <w:rPr>
                <w:sz w:val="24"/>
                <w:szCs w:val="24"/>
              </w:rPr>
            </w:pPr>
            <w:r>
              <w:rPr>
                <w:sz w:val="24"/>
                <w:szCs w:val="24"/>
              </w:rPr>
              <w:t>Date:</w:t>
            </w:r>
            <w:r w:rsidR="00B54356">
              <w:rPr>
                <w:sz w:val="24"/>
                <w:szCs w:val="24"/>
              </w:rPr>
              <w:t xml:space="preserve">  </w:t>
            </w:r>
            <w:r w:rsidR="00757F74">
              <w:rPr>
                <w:sz w:val="24"/>
                <w:szCs w:val="24"/>
              </w:rPr>
              <w:t>2</w:t>
            </w:r>
            <w:r w:rsidR="0081772B">
              <w:rPr>
                <w:sz w:val="24"/>
                <w:szCs w:val="24"/>
              </w:rPr>
              <w:t>014-10-22</w:t>
            </w:r>
          </w:p>
        </w:tc>
        <w:tc>
          <w:tcPr>
            <w:tcW w:w="5314" w:type="dxa"/>
            <w:gridSpan w:val="3"/>
            <w:tcBorders>
              <w:bottom w:val="single" w:sz="24" w:space="0" w:color="auto"/>
              <w:right w:val="single" w:sz="24" w:space="0" w:color="auto"/>
            </w:tcBorders>
            <w:shd w:val="clear" w:color="auto" w:fill="auto"/>
            <w:vAlign w:val="center"/>
          </w:tcPr>
          <w:p w:rsidR="00E05ED1" w:rsidRPr="009F185E" w:rsidRDefault="00E05ED1" w:rsidP="0041095F">
            <w:pPr>
              <w:pStyle w:val="Heading2"/>
              <w:ind w:left="113" w:right="113"/>
              <w:jc w:val="left"/>
              <w:rPr>
                <w:sz w:val="24"/>
                <w:szCs w:val="24"/>
              </w:rPr>
            </w:pPr>
            <w:r>
              <w:rPr>
                <w:sz w:val="24"/>
                <w:szCs w:val="24"/>
              </w:rPr>
              <w:t>Division Contact:</w:t>
            </w:r>
            <w:r w:rsidR="00B54356">
              <w:rPr>
                <w:sz w:val="24"/>
                <w:szCs w:val="24"/>
              </w:rPr>
              <w:t xml:space="preserve"> </w:t>
            </w:r>
            <w:r w:rsidR="0021217D">
              <w:rPr>
                <w:sz w:val="24"/>
                <w:szCs w:val="24"/>
              </w:rPr>
              <w:t xml:space="preserve"> Ira Lee</w:t>
            </w:r>
            <w:r w:rsidR="00B54356">
              <w:rPr>
                <w:sz w:val="24"/>
                <w:szCs w:val="24"/>
              </w:rPr>
              <w:t xml:space="preserve"> </w:t>
            </w:r>
          </w:p>
        </w:tc>
      </w:tr>
    </w:tbl>
    <w:p w:rsidR="00BC4133" w:rsidRDefault="00BC4133" w:rsidP="009F185E">
      <w:pPr>
        <w:pStyle w:val="Heading2"/>
        <w:ind w:left="113" w:right="113"/>
        <w:rPr>
          <w:sz w:val="24"/>
          <w:szCs w:val="24"/>
        </w:rPr>
      </w:pPr>
    </w:p>
    <w:p w:rsidR="00104553" w:rsidRDefault="00104553">
      <w:r>
        <w:br w:type="page"/>
      </w:r>
    </w:p>
    <w:p w:rsidR="00E05ED1" w:rsidRDefault="00A54C24" w:rsidP="00A54C24">
      <w:pPr>
        <w:pStyle w:val="Heading2"/>
      </w:pPr>
      <w:r>
        <w:lastRenderedPageBreak/>
        <w:t xml:space="preserve">School Division Categorical Grant </w:t>
      </w:r>
      <w:r w:rsidR="009C0E48">
        <w:t xml:space="preserve">Outcomes </w:t>
      </w:r>
      <w:r>
        <w:t>Report 2014</w:t>
      </w:r>
      <w:r w:rsidR="005F4100">
        <w:t>–</w:t>
      </w:r>
      <w:r>
        <w:t>2015</w:t>
      </w:r>
    </w:p>
    <w:p w:rsidR="00A54C24" w:rsidRDefault="00A54C24" w:rsidP="00A54C24"/>
    <w:p w:rsidR="00A54C24" w:rsidRDefault="00A54C24" w:rsidP="00A54C24">
      <w:pPr>
        <w:pStyle w:val="Style1"/>
        <w:jc w:val="center"/>
      </w:pPr>
      <w:r>
        <w:t xml:space="preserve">Template </w:t>
      </w:r>
      <w:r w:rsidR="00540502">
        <w:t>Instructions</w:t>
      </w:r>
    </w:p>
    <w:p w:rsidR="00A54C24" w:rsidRDefault="00A54C24" w:rsidP="00A54C24">
      <w:pPr>
        <w:pStyle w:val="Style1"/>
        <w:jc w:val="center"/>
      </w:pPr>
    </w:p>
    <w:p w:rsidR="00A54C24" w:rsidRDefault="00A54C24" w:rsidP="00AC435D">
      <w:pPr>
        <w:pStyle w:val="Style1"/>
        <w:spacing w:after="160"/>
      </w:pPr>
    </w:p>
    <w:p w:rsidR="00A54C24" w:rsidRDefault="00A54C24" w:rsidP="00AC435D">
      <w:pPr>
        <w:pStyle w:val="Style1"/>
        <w:numPr>
          <w:ilvl w:val="0"/>
          <w:numId w:val="2"/>
        </w:numPr>
        <w:spacing w:after="160"/>
      </w:pPr>
      <w:r>
        <w:t xml:space="preserve"> The latest templates are available at: </w:t>
      </w:r>
      <w:r w:rsidR="00540502">
        <w:t>&lt;</w:t>
      </w:r>
      <w:r w:rsidR="000B01F3" w:rsidRPr="000B01F3">
        <w:t>http://www.edu.gov.mb.ca/edu/grants.html</w:t>
      </w:r>
      <w:r w:rsidR="00540502">
        <w:t>&gt;</w:t>
      </w:r>
    </w:p>
    <w:p w:rsidR="00A54C24" w:rsidRDefault="00A07488" w:rsidP="00AC435D">
      <w:pPr>
        <w:pStyle w:val="Style1"/>
        <w:numPr>
          <w:ilvl w:val="0"/>
          <w:numId w:val="2"/>
        </w:numPr>
        <w:spacing w:after="160"/>
      </w:pPr>
      <w:r>
        <w:t>Use the template</w:t>
      </w:r>
      <w:r w:rsidR="00FB54F5">
        <w:t>s</w:t>
      </w:r>
      <w:r>
        <w:t xml:space="preserve"> to submit the following reports:</w:t>
      </w:r>
    </w:p>
    <w:p w:rsidR="00A54C24" w:rsidRDefault="00A07488" w:rsidP="00AC435D">
      <w:pPr>
        <w:pStyle w:val="Style1"/>
        <w:numPr>
          <w:ilvl w:val="1"/>
          <w:numId w:val="2"/>
        </w:numPr>
        <w:spacing w:after="160"/>
      </w:pPr>
      <w:r>
        <w:t xml:space="preserve">School Division Categorical Grant </w:t>
      </w:r>
      <w:r w:rsidR="009C0E48">
        <w:t xml:space="preserve">Outcomes </w:t>
      </w:r>
      <w:r>
        <w:t>Report</w:t>
      </w:r>
    </w:p>
    <w:p w:rsidR="00A54C24" w:rsidRDefault="00A07488" w:rsidP="00AC435D">
      <w:pPr>
        <w:pStyle w:val="Style1"/>
        <w:numPr>
          <w:ilvl w:val="1"/>
          <w:numId w:val="2"/>
        </w:numPr>
        <w:spacing w:after="160"/>
      </w:pPr>
      <w:r>
        <w:t xml:space="preserve">Categorical Grant Review Financial </w:t>
      </w:r>
      <w:r w:rsidR="00540502">
        <w:t>Report</w:t>
      </w:r>
    </w:p>
    <w:p w:rsidR="00A54C24" w:rsidRDefault="000B01F3" w:rsidP="00AC435D">
      <w:pPr>
        <w:pStyle w:val="Style1"/>
        <w:numPr>
          <w:ilvl w:val="0"/>
          <w:numId w:val="2"/>
        </w:numPr>
        <w:spacing w:after="160"/>
      </w:pPr>
      <w:r>
        <w:t xml:space="preserve">Report on each </w:t>
      </w:r>
      <w:r w:rsidR="00A54C24">
        <w:t xml:space="preserve">Categorical Grant </w:t>
      </w:r>
      <w:r>
        <w:t xml:space="preserve">using a separate </w:t>
      </w:r>
      <w:r w:rsidRPr="000B01F3">
        <w:rPr>
          <w:i/>
        </w:rPr>
        <w:t xml:space="preserve">Categorical Grant </w:t>
      </w:r>
      <w:r w:rsidR="009C0E48" w:rsidRPr="000B01F3">
        <w:rPr>
          <w:i/>
        </w:rPr>
        <w:t xml:space="preserve">Outcomes </w:t>
      </w:r>
      <w:r w:rsidR="00A54C24" w:rsidRPr="000B01F3">
        <w:rPr>
          <w:i/>
        </w:rPr>
        <w:t>Report</w:t>
      </w:r>
      <w:r w:rsidR="00A54C24">
        <w:t>.</w:t>
      </w:r>
    </w:p>
    <w:p w:rsidR="00A54C24" w:rsidRDefault="00FA1BB5" w:rsidP="00AC435D">
      <w:pPr>
        <w:pStyle w:val="Style1"/>
        <w:numPr>
          <w:ilvl w:val="0"/>
          <w:numId w:val="2"/>
        </w:numPr>
        <w:spacing w:after="160"/>
      </w:pPr>
      <w:r>
        <w:t>Email reports to</w:t>
      </w:r>
      <w:r w:rsidR="00A07488">
        <w:t xml:space="preserve">: </w:t>
      </w:r>
      <w:r w:rsidR="00D85C6B">
        <w:t>&lt;</w:t>
      </w:r>
      <w:r w:rsidR="00A54C24">
        <w:t>ruth.parnetta@gov.mb.ca</w:t>
      </w:r>
      <w:r w:rsidR="00D85C6B">
        <w:t>&gt;</w:t>
      </w:r>
      <w:r w:rsidR="00A54C24">
        <w:t xml:space="preserve">. </w:t>
      </w:r>
      <w:r w:rsidR="00A54C24" w:rsidRPr="00540502">
        <w:rPr>
          <w:b/>
        </w:rPr>
        <w:t xml:space="preserve">The </w:t>
      </w:r>
      <w:r w:rsidR="00540502" w:rsidRPr="00540502">
        <w:rPr>
          <w:b/>
        </w:rPr>
        <w:t>original signed F</w:t>
      </w:r>
      <w:r w:rsidR="00A54C24" w:rsidRPr="00540502">
        <w:rPr>
          <w:b/>
        </w:rPr>
        <w:t xml:space="preserve">inancial </w:t>
      </w:r>
      <w:r w:rsidR="00540502" w:rsidRPr="00540502">
        <w:rPr>
          <w:b/>
        </w:rPr>
        <w:t>R</w:t>
      </w:r>
      <w:r w:rsidR="00A54C24" w:rsidRPr="00540502">
        <w:rPr>
          <w:b/>
        </w:rPr>
        <w:t xml:space="preserve">eport page </w:t>
      </w:r>
      <w:r w:rsidR="00540502" w:rsidRPr="00540502">
        <w:rPr>
          <w:b/>
        </w:rPr>
        <w:t xml:space="preserve">must also be </w:t>
      </w:r>
      <w:r w:rsidR="00A54C24" w:rsidRPr="00540502">
        <w:rPr>
          <w:b/>
        </w:rPr>
        <w:t>mailed</w:t>
      </w:r>
      <w:r w:rsidR="00A54C24">
        <w:t xml:space="preserve"> </w:t>
      </w:r>
      <w:r w:rsidR="00540502">
        <w:t>to</w:t>
      </w:r>
      <w:r w:rsidR="00A54C24">
        <w:t xml:space="preserve">: </w:t>
      </w:r>
    </w:p>
    <w:p w:rsidR="009C0E48" w:rsidRDefault="009C0E48" w:rsidP="00AC435D">
      <w:pPr>
        <w:pStyle w:val="Style1"/>
        <w:ind w:left="720" w:firstLine="720"/>
      </w:pPr>
      <w:r>
        <w:t>Categorical Grant Review</w:t>
      </w:r>
    </w:p>
    <w:p w:rsidR="00A54C24" w:rsidRDefault="00A54C24" w:rsidP="00AC435D">
      <w:pPr>
        <w:pStyle w:val="Style1"/>
        <w:ind w:left="720" w:firstLine="720"/>
      </w:pPr>
      <w:r>
        <w:t>Early Childhood Education Unit</w:t>
      </w:r>
    </w:p>
    <w:p w:rsidR="00A54C24" w:rsidRDefault="00A54C24" w:rsidP="00AC435D">
      <w:pPr>
        <w:pStyle w:val="Style1"/>
        <w:ind w:left="720" w:firstLine="720"/>
      </w:pPr>
      <w:r>
        <w:t>307-1181 Portage Avenue</w:t>
      </w:r>
    </w:p>
    <w:p w:rsidR="00A54C24" w:rsidRDefault="00A54C24" w:rsidP="00AC435D">
      <w:pPr>
        <w:pStyle w:val="Style1"/>
        <w:ind w:left="720" w:firstLine="720"/>
      </w:pPr>
      <w:r>
        <w:t>Winnipeg MB</w:t>
      </w:r>
    </w:p>
    <w:p w:rsidR="00A54C24" w:rsidRDefault="00A54C24" w:rsidP="00AC435D">
      <w:pPr>
        <w:pStyle w:val="Style1"/>
        <w:spacing w:after="160"/>
        <w:ind w:left="720" w:firstLine="720"/>
      </w:pPr>
      <w:r>
        <w:t>R3G OT3</w:t>
      </w:r>
    </w:p>
    <w:p w:rsidR="00A54C24" w:rsidRDefault="00231B95" w:rsidP="00540502">
      <w:pPr>
        <w:pStyle w:val="Style1"/>
        <w:numPr>
          <w:ilvl w:val="0"/>
          <w:numId w:val="2"/>
        </w:numPr>
        <w:spacing w:after="160"/>
      </w:pPr>
      <w:r>
        <w:t xml:space="preserve">A description of each grant can be found in </w:t>
      </w:r>
      <w:r w:rsidR="00A54C24">
        <w:t xml:space="preserve">the </w:t>
      </w:r>
      <w:r w:rsidR="00A54C24">
        <w:rPr>
          <w:i/>
        </w:rPr>
        <w:t>Funding of Schools 2014</w:t>
      </w:r>
      <w:r w:rsidR="005F4100">
        <w:rPr>
          <w:i/>
        </w:rPr>
        <w:t>–</w:t>
      </w:r>
      <w:r w:rsidR="00A54C24">
        <w:rPr>
          <w:i/>
        </w:rPr>
        <w:t>2015</w:t>
      </w:r>
      <w:r w:rsidR="00A54C24">
        <w:t xml:space="preserve"> </w:t>
      </w:r>
      <w:r w:rsidR="00A54C24">
        <w:rPr>
          <w:i/>
        </w:rPr>
        <w:t>School Year</w:t>
      </w:r>
      <w:r w:rsidR="005E76AA">
        <w:rPr>
          <w:i/>
        </w:rPr>
        <w:t xml:space="preserve">. </w:t>
      </w:r>
      <w:r w:rsidR="00540502">
        <w:t>&lt;</w:t>
      </w:r>
      <w:r w:rsidR="00540502" w:rsidRPr="00AC435D">
        <w:t>http://www.edu.gov.mb.ca/k12/finance/schfund/index.html</w:t>
      </w:r>
      <w:r w:rsidR="00540502">
        <w:t xml:space="preserve">&gt; and at </w:t>
      </w:r>
      <w:r w:rsidR="00AC435D">
        <w:t>&lt;</w:t>
      </w:r>
      <w:r w:rsidR="00AC435D" w:rsidRPr="00AC435D">
        <w:t>http://www.edu.gov.mb.ca/edu/grants.html</w:t>
      </w:r>
      <w:r w:rsidR="00540502">
        <w:t>&gt;.</w:t>
      </w:r>
    </w:p>
    <w:p w:rsidR="00AC435D" w:rsidRDefault="00110306" w:rsidP="00AC435D">
      <w:pPr>
        <w:pStyle w:val="Style1"/>
        <w:spacing w:after="160"/>
        <w:ind w:left="720"/>
      </w:pPr>
      <w:r w:rsidRPr="00D85C6B">
        <w:rPr>
          <w:b/>
        </w:rPr>
        <w:t>Please note</w:t>
      </w:r>
      <w:r w:rsidRPr="00D85C6B">
        <w:t>:</w:t>
      </w:r>
      <w:r>
        <w:rPr>
          <w:i/>
        </w:rPr>
        <w:t xml:space="preserve">  </w:t>
      </w:r>
      <w:r w:rsidR="00AC435D">
        <w:t>The unexpended grant amounts from the ELI, N, MYL/WE</w:t>
      </w:r>
      <w:r w:rsidR="00540502">
        <w:t>, ECDI</w:t>
      </w:r>
      <w:r w:rsidR="00AC435D">
        <w:t xml:space="preserve"> and ESD categorical grants will be applied as a reduction against the funding allocations calculated for 2014</w:t>
      </w:r>
      <w:r w:rsidR="005F4100">
        <w:t>–</w:t>
      </w:r>
      <w:r w:rsidR="00AC435D">
        <w:t>2015.</w:t>
      </w:r>
    </w:p>
    <w:p w:rsidR="00A54C24" w:rsidRPr="00A54C24" w:rsidRDefault="00A54C24" w:rsidP="00A54C24">
      <w:pPr>
        <w:pStyle w:val="Style1"/>
        <w:ind w:left="720"/>
      </w:pPr>
    </w:p>
    <w:sectPr w:rsidR="00A54C24" w:rsidRPr="00A54C24" w:rsidSect="0022707F">
      <w:footerReference w:type="default" r:id="rId21"/>
      <w:pgSz w:w="20160" w:h="12240" w:orient="landscape" w:code="5"/>
      <w:pgMar w:top="720" w:right="720" w:bottom="720" w:left="720" w:header="706"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29" w:rsidRDefault="00544329" w:rsidP="002A160D">
      <w:r>
        <w:separator/>
      </w:r>
    </w:p>
  </w:endnote>
  <w:endnote w:type="continuationSeparator" w:id="0">
    <w:p w:rsidR="00544329" w:rsidRDefault="00544329" w:rsidP="002A1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29" w:rsidRDefault="00544329" w:rsidP="002A160D">
    <w:pPr>
      <w:pStyle w:val="Footer"/>
      <w:tabs>
        <w:tab w:val="clear" w:pos="4680"/>
        <w:tab w:val="clear" w:pos="9360"/>
        <w:tab w:val="right" w:pos="18540"/>
      </w:tabs>
    </w:pPr>
    <w:r>
      <w:t>Categorical Grant Outcomes Report and Financial Report 2014–2015</w:t>
    </w:r>
    <w:r>
      <w:tab/>
      <w:t xml:space="preserve">Page </w:t>
    </w:r>
    <w:fldSimple w:instr=" PAGE   \* MERGEFORMAT ">
      <w:r w:rsidR="00A008C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29" w:rsidRDefault="00544329" w:rsidP="002A160D">
      <w:r>
        <w:separator/>
      </w:r>
    </w:p>
  </w:footnote>
  <w:footnote w:type="continuationSeparator" w:id="0">
    <w:p w:rsidR="00544329" w:rsidRDefault="00544329" w:rsidP="002A1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34EA"/>
    <w:multiLevelType w:val="hybridMultilevel"/>
    <w:tmpl w:val="53DCA0C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nsid w:val="258D53D7"/>
    <w:multiLevelType w:val="hybridMultilevel"/>
    <w:tmpl w:val="7444CB00"/>
    <w:lvl w:ilvl="0" w:tplc="59C2FB2A">
      <w:start w:val="1"/>
      <w:numFmt w:val="bullet"/>
      <w:lvlText w:val=""/>
      <w:lvlJc w:val="left"/>
      <w:pPr>
        <w:tabs>
          <w:tab w:val="num" w:pos="720"/>
        </w:tabs>
        <w:ind w:left="720" w:hanging="360"/>
      </w:pPr>
      <w:rPr>
        <w:rFonts w:ascii="Symbol" w:hAnsi="Symbol" w:hint="default"/>
        <w:color w:val="auto"/>
      </w:rPr>
    </w:lvl>
    <w:lvl w:ilvl="1" w:tplc="E1B4735E">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BF7969"/>
    <w:multiLevelType w:val="hybridMultilevel"/>
    <w:tmpl w:val="004003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stylePaneFormatFilter w:val="5624"/>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D5351"/>
    <w:rsid w:val="0002209B"/>
    <w:rsid w:val="0004121C"/>
    <w:rsid w:val="0008799D"/>
    <w:rsid w:val="000B01F3"/>
    <w:rsid w:val="000C2F2E"/>
    <w:rsid w:val="000C5BD2"/>
    <w:rsid w:val="000D3A05"/>
    <w:rsid w:val="000F4508"/>
    <w:rsid w:val="00104553"/>
    <w:rsid w:val="00110306"/>
    <w:rsid w:val="001306B9"/>
    <w:rsid w:val="001353C7"/>
    <w:rsid w:val="00150412"/>
    <w:rsid w:val="00163D1E"/>
    <w:rsid w:val="00185FDD"/>
    <w:rsid w:val="00197F62"/>
    <w:rsid w:val="001A23A4"/>
    <w:rsid w:val="001C2459"/>
    <w:rsid w:val="001E2B49"/>
    <w:rsid w:val="001F13D5"/>
    <w:rsid w:val="001F469F"/>
    <w:rsid w:val="001F5111"/>
    <w:rsid w:val="002040F8"/>
    <w:rsid w:val="0021217D"/>
    <w:rsid w:val="0022707F"/>
    <w:rsid w:val="00231B95"/>
    <w:rsid w:val="002364AC"/>
    <w:rsid w:val="00253C24"/>
    <w:rsid w:val="0029733D"/>
    <w:rsid w:val="002A160D"/>
    <w:rsid w:val="002C2399"/>
    <w:rsid w:val="002C7008"/>
    <w:rsid w:val="002F534C"/>
    <w:rsid w:val="00330449"/>
    <w:rsid w:val="00346F7C"/>
    <w:rsid w:val="00383A31"/>
    <w:rsid w:val="003A7B48"/>
    <w:rsid w:val="003C505F"/>
    <w:rsid w:val="003E0320"/>
    <w:rsid w:val="003E0A2F"/>
    <w:rsid w:val="00405DDF"/>
    <w:rsid w:val="0041095F"/>
    <w:rsid w:val="0044095A"/>
    <w:rsid w:val="00443D9F"/>
    <w:rsid w:val="004579BF"/>
    <w:rsid w:val="004B5490"/>
    <w:rsid w:val="004C0C58"/>
    <w:rsid w:val="004E75EC"/>
    <w:rsid w:val="004F2CD4"/>
    <w:rsid w:val="00540502"/>
    <w:rsid w:val="00544329"/>
    <w:rsid w:val="00554805"/>
    <w:rsid w:val="005946DF"/>
    <w:rsid w:val="005E76AA"/>
    <w:rsid w:val="005F34F6"/>
    <w:rsid w:val="005F4100"/>
    <w:rsid w:val="0060281F"/>
    <w:rsid w:val="00637E64"/>
    <w:rsid w:val="006C4117"/>
    <w:rsid w:val="006E7F4E"/>
    <w:rsid w:val="00711A7E"/>
    <w:rsid w:val="00743FD8"/>
    <w:rsid w:val="00757F74"/>
    <w:rsid w:val="0077380C"/>
    <w:rsid w:val="007910C6"/>
    <w:rsid w:val="007B02D8"/>
    <w:rsid w:val="007C4100"/>
    <w:rsid w:val="007D5351"/>
    <w:rsid w:val="007E3010"/>
    <w:rsid w:val="0081772B"/>
    <w:rsid w:val="00822689"/>
    <w:rsid w:val="00827802"/>
    <w:rsid w:val="00884A3E"/>
    <w:rsid w:val="0088781A"/>
    <w:rsid w:val="00932408"/>
    <w:rsid w:val="009529E3"/>
    <w:rsid w:val="00964CA1"/>
    <w:rsid w:val="009B4CF7"/>
    <w:rsid w:val="009C0E48"/>
    <w:rsid w:val="009D5AD3"/>
    <w:rsid w:val="009E0818"/>
    <w:rsid w:val="009F185E"/>
    <w:rsid w:val="00A008C5"/>
    <w:rsid w:val="00A07488"/>
    <w:rsid w:val="00A2777B"/>
    <w:rsid w:val="00A30CAB"/>
    <w:rsid w:val="00A54C24"/>
    <w:rsid w:val="00A65A57"/>
    <w:rsid w:val="00AC435D"/>
    <w:rsid w:val="00AD1275"/>
    <w:rsid w:val="00AD3EBF"/>
    <w:rsid w:val="00AD4E1E"/>
    <w:rsid w:val="00AE731E"/>
    <w:rsid w:val="00B2353E"/>
    <w:rsid w:val="00B44931"/>
    <w:rsid w:val="00B54356"/>
    <w:rsid w:val="00B61141"/>
    <w:rsid w:val="00B734ED"/>
    <w:rsid w:val="00B813EF"/>
    <w:rsid w:val="00BB25E0"/>
    <w:rsid w:val="00BC4133"/>
    <w:rsid w:val="00C10476"/>
    <w:rsid w:val="00C640A7"/>
    <w:rsid w:val="00C95C90"/>
    <w:rsid w:val="00CC5068"/>
    <w:rsid w:val="00CF738C"/>
    <w:rsid w:val="00D85C6B"/>
    <w:rsid w:val="00D928BA"/>
    <w:rsid w:val="00D95FF3"/>
    <w:rsid w:val="00DE3039"/>
    <w:rsid w:val="00E05ED1"/>
    <w:rsid w:val="00E07335"/>
    <w:rsid w:val="00E207F8"/>
    <w:rsid w:val="00E427CB"/>
    <w:rsid w:val="00E650B0"/>
    <w:rsid w:val="00EA7E80"/>
    <w:rsid w:val="00EE3DBA"/>
    <w:rsid w:val="00F30FDE"/>
    <w:rsid w:val="00F32260"/>
    <w:rsid w:val="00F61130"/>
    <w:rsid w:val="00F67F11"/>
    <w:rsid w:val="00F9771B"/>
    <w:rsid w:val="00FA1BB5"/>
    <w:rsid w:val="00FA36BA"/>
    <w:rsid w:val="00FA452A"/>
    <w:rsid w:val="00FB54F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30"/>
  </w:style>
  <w:style w:type="paragraph" w:styleId="Heading2">
    <w:name w:val="heading 2"/>
    <w:basedOn w:val="Normal"/>
    <w:next w:val="Normal"/>
    <w:link w:val="Heading2Char"/>
    <w:qFormat/>
    <w:rsid w:val="007D5351"/>
    <w:pPr>
      <w:keepNext/>
      <w:jc w:val="center"/>
      <w:outlineLvl w:val="1"/>
    </w:pPr>
    <w:rPr>
      <w:rFonts w:ascii="Arial Black" w:eastAsia="Times New Roman" w:hAnsi="Arial Black"/>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paragraphs"/>
    <w:basedOn w:val="Normal"/>
    <w:next w:val="Normal"/>
    <w:autoRedefine/>
    <w:uiPriority w:val="1"/>
    <w:qFormat/>
    <w:rsid w:val="004B5490"/>
    <w:pPr>
      <w:spacing w:before="120" w:after="120"/>
    </w:pPr>
  </w:style>
  <w:style w:type="paragraph" w:customStyle="1" w:styleId="Style1">
    <w:name w:val="Style1"/>
    <w:basedOn w:val="Normal"/>
    <w:qFormat/>
    <w:rsid w:val="00884A3E"/>
    <w:pPr>
      <w:spacing w:line="312" w:lineRule="atLeast"/>
    </w:pPr>
    <w:rPr>
      <w:rFonts w:ascii="Arial" w:eastAsia="Times New Roman" w:hAnsi="Arial"/>
      <w:sz w:val="28"/>
      <w:lang w:val="en-US"/>
    </w:rPr>
  </w:style>
  <w:style w:type="table" w:styleId="TableGrid">
    <w:name w:val="Table Grid"/>
    <w:basedOn w:val="TableNormal"/>
    <w:uiPriority w:val="59"/>
    <w:rsid w:val="007D5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D5351"/>
    <w:rPr>
      <w:rFonts w:ascii="Arial Black" w:eastAsia="Times New Roman" w:hAnsi="Arial Black"/>
      <w:sz w:val="36"/>
    </w:rPr>
  </w:style>
  <w:style w:type="paragraph" w:styleId="Header">
    <w:name w:val="header"/>
    <w:basedOn w:val="Normal"/>
    <w:link w:val="HeaderChar"/>
    <w:uiPriority w:val="99"/>
    <w:semiHidden/>
    <w:unhideWhenUsed/>
    <w:rsid w:val="002A160D"/>
    <w:pPr>
      <w:tabs>
        <w:tab w:val="center" w:pos="4680"/>
        <w:tab w:val="right" w:pos="9360"/>
      </w:tabs>
    </w:pPr>
  </w:style>
  <w:style w:type="character" w:customStyle="1" w:styleId="HeaderChar">
    <w:name w:val="Header Char"/>
    <w:basedOn w:val="DefaultParagraphFont"/>
    <w:link w:val="Header"/>
    <w:uiPriority w:val="99"/>
    <w:semiHidden/>
    <w:rsid w:val="002A160D"/>
  </w:style>
  <w:style w:type="paragraph" w:styleId="Footer">
    <w:name w:val="footer"/>
    <w:basedOn w:val="Normal"/>
    <w:link w:val="FooterChar"/>
    <w:uiPriority w:val="99"/>
    <w:unhideWhenUsed/>
    <w:rsid w:val="002A160D"/>
    <w:pPr>
      <w:tabs>
        <w:tab w:val="center" w:pos="4680"/>
        <w:tab w:val="right" w:pos="9360"/>
      </w:tabs>
    </w:pPr>
  </w:style>
  <w:style w:type="character" w:customStyle="1" w:styleId="FooterChar">
    <w:name w:val="Footer Char"/>
    <w:basedOn w:val="DefaultParagraphFont"/>
    <w:link w:val="Footer"/>
    <w:uiPriority w:val="99"/>
    <w:rsid w:val="002A160D"/>
  </w:style>
  <w:style w:type="paragraph" w:styleId="BalloonText">
    <w:name w:val="Balloon Text"/>
    <w:basedOn w:val="Normal"/>
    <w:link w:val="BalloonTextChar"/>
    <w:uiPriority w:val="99"/>
    <w:semiHidden/>
    <w:unhideWhenUsed/>
    <w:rsid w:val="002A160D"/>
    <w:rPr>
      <w:rFonts w:ascii="Tahoma" w:hAnsi="Tahoma" w:cs="Tahoma"/>
      <w:sz w:val="16"/>
      <w:szCs w:val="16"/>
    </w:rPr>
  </w:style>
  <w:style w:type="character" w:customStyle="1" w:styleId="BalloonTextChar">
    <w:name w:val="Balloon Text Char"/>
    <w:basedOn w:val="DefaultParagraphFont"/>
    <w:link w:val="BalloonText"/>
    <w:uiPriority w:val="99"/>
    <w:semiHidden/>
    <w:rsid w:val="002A160D"/>
    <w:rPr>
      <w:rFonts w:ascii="Tahoma" w:hAnsi="Tahoma" w:cs="Tahoma"/>
      <w:sz w:val="16"/>
      <w:szCs w:val="16"/>
    </w:rPr>
  </w:style>
  <w:style w:type="character" w:styleId="PlaceholderText">
    <w:name w:val="Placeholder Text"/>
    <w:basedOn w:val="DefaultParagraphFont"/>
    <w:uiPriority w:val="99"/>
    <w:semiHidden/>
    <w:rsid w:val="00110306"/>
    <w:rPr>
      <w:color w:val="808080"/>
    </w:rPr>
  </w:style>
  <w:style w:type="paragraph" w:styleId="z-TopofForm">
    <w:name w:val="HTML Top of Form"/>
    <w:basedOn w:val="Normal"/>
    <w:next w:val="Normal"/>
    <w:link w:val="z-TopofFormChar"/>
    <w:hidden/>
    <w:uiPriority w:val="99"/>
    <w:semiHidden/>
    <w:unhideWhenUsed/>
    <w:rsid w:val="00E650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50B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50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50B0"/>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085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rparnetta</dc:creator>
  <cp:lastModifiedBy>marobinson</cp:lastModifiedBy>
  <cp:revision>5</cp:revision>
  <cp:lastPrinted>2014-03-13T16:26:00Z</cp:lastPrinted>
  <dcterms:created xsi:type="dcterms:W3CDTF">2014-04-25T17:50:00Z</dcterms:created>
  <dcterms:modified xsi:type="dcterms:W3CDTF">2014-04-25T18:40:00Z</dcterms:modified>
</cp:coreProperties>
</file>