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472184" w:rsidRPr="00044CFC" w:rsidRDefault="00472184" w:rsidP="00472184">
      <w:pPr>
        <w:pStyle w:val="BLMText"/>
        <w:rPr>
          <w:b/>
          <w:sz w:val="24"/>
          <w:szCs w:val="24"/>
        </w:rPr>
      </w:pPr>
      <w:r w:rsidRPr="00044CFC">
        <w:rPr>
          <w:b/>
          <w:sz w:val="24"/>
          <w:szCs w:val="24"/>
        </w:rPr>
        <w:t>I</w:t>
      </w:r>
      <w:r w:rsidR="002B1BC4" w:rsidRPr="00044CFC">
        <w:rPr>
          <w:b/>
          <w:sz w:val="24"/>
          <w:szCs w:val="24"/>
        </w:rPr>
        <w:t>nformation Sheet</w:t>
      </w:r>
    </w:p>
    <w:p w:rsidR="001F10F5" w:rsidRPr="00044CFC" w:rsidRDefault="00472184" w:rsidP="00472184">
      <w:pPr>
        <w:pStyle w:val="BLMText"/>
        <w:rPr>
          <w:b/>
          <w:sz w:val="24"/>
          <w:szCs w:val="24"/>
        </w:rPr>
      </w:pPr>
      <w:r w:rsidRPr="00044CFC">
        <w:rPr>
          <w:b/>
          <w:sz w:val="24"/>
          <w:szCs w:val="24"/>
        </w:rPr>
        <w:t>O</w:t>
      </w:r>
      <w:r w:rsidR="00793F10" w:rsidRPr="00044CFC">
        <w:rPr>
          <w:b/>
          <w:sz w:val="24"/>
          <w:szCs w:val="24"/>
        </w:rPr>
        <w:t>verview of the E</w:t>
      </w:r>
      <w:r w:rsidR="002B1BC4" w:rsidRPr="00044CFC">
        <w:rPr>
          <w:b/>
          <w:sz w:val="24"/>
          <w:szCs w:val="24"/>
        </w:rPr>
        <w:t>volving World of Work</w:t>
      </w:r>
    </w:p>
    <w:p w:rsidR="00472184" w:rsidRDefault="00472184" w:rsidP="00472184">
      <w:pPr>
        <w:pStyle w:val="BLMText"/>
        <w:rPr>
          <w:b/>
        </w:rPr>
      </w:pPr>
    </w:p>
    <w:p w:rsidR="00F54173" w:rsidRDefault="00F54173" w:rsidP="00472184">
      <w:pPr>
        <w:pStyle w:val="BLMText"/>
        <w:rPr>
          <w:b/>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world of work is in constant flux. Work and occupations are not created out of the ether. They are created out of needs for goods and services. Over time, needs shift and change. New technologies, global influences, changes in demographics of the population and spending habits of families all affect the number and type of occupations in countries and in communities.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Ask parents to think about occupations that they have seen disappear over their own lifetime (e.g., telegraph operators, bank tellers [practically], personal secretaries). As they disappear they are replaced by new occupations (e.g., financial advisors, software developers, radiology specialists). In another 100 years, people will be doing work we can only dream about now.</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Most of us aren’t concerned about the next 100 years—at least it does not preoccupy our daily thoughts. We do care, however, about the next five or ten years as it relates to our own career futures and those of our children.</w:t>
      </w:r>
    </w:p>
    <w:p w:rsidR="003C07F1" w:rsidRPr="003C07F1" w:rsidRDefault="003C07F1" w:rsidP="007861FB">
      <w:pPr>
        <w:pStyle w:val="Level6"/>
        <w:widowControl/>
        <w:numPr>
          <w:ilvl w:val="0"/>
          <w:numId w:val="11"/>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60"/>
        <w:rPr>
          <w:rFonts w:ascii="Tahoma" w:hAnsi="Tahoma" w:cs="Tahoma"/>
          <w:color w:val="000000"/>
          <w:sz w:val="22"/>
          <w:lang w:val="en-AU"/>
        </w:rPr>
      </w:pPr>
      <w:r w:rsidRPr="003C07F1">
        <w:rPr>
          <w:rFonts w:ascii="Tahoma" w:hAnsi="Tahoma" w:cs="Tahoma"/>
          <w:color w:val="000000"/>
          <w:sz w:val="22"/>
          <w:lang w:val="en-AU"/>
        </w:rPr>
        <w:t>As we look at the global economy at the beginning of the 21st century, what do we</w:t>
      </w:r>
      <w:r w:rsidR="00793F10">
        <w:rPr>
          <w:rFonts w:ascii="Tahoma" w:hAnsi="Tahoma" w:cs="Tahoma"/>
          <w:color w:val="000000"/>
          <w:sz w:val="22"/>
          <w:lang w:val="en-AU"/>
        </w:rPr>
        <w:t xml:space="preserve"> now see? Global trends include</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h</w:t>
      </w:r>
      <w:r w:rsidR="003C07F1" w:rsidRPr="003C07F1">
        <w:rPr>
          <w:rFonts w:ascii="Tahoma" w:hAnsi="Tahoma" w:cs="Tahoma"/>
          <w:color w:val="000000"/>
          <w:sz w:val="22"/>
          <w:lang w:val="en-AU"/>
        </w:rPr>
        <w:t>ighly competitive trade—easy movement of people and products globally</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i</w:t>
      </w:r>
      <w:r w:rsidR="003C07F1" w:rsidRPr="003C07F1">
        <w:rPr>
          <w:rFonts w:ascii="Tahoma" w:hAnsi="Tahoma" w:cs="Tahoma"/>
          <w:color w:val="000000"/>
          <w:sz w:val="22"/>
          <w:lang w:val="en-AU"/>
        </w:rPr>
        <w:t>ncreased deregulation and privatization of industry</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i</w:t>
      </w:r>
      <w:r w:rsidR="003C07F1" w:rsidRPr="003C07F1">
        <w:rPr>
          <w:rFonts w:ascii="Tahoma" w:hAnsi="Tahoma" w:cs="Tahoma"/>
          <w:color w:val="000000"/>
          <w:sz w:val="22"/>
          <w:lang w:val="en-AU"/>
        </w:rPr>
        <w:t>nformation technology is a dominant force</w:t>
      </w:r>
    </w:p>
    <w:p w:rsidR="003C07F1" w:rsidRPr="003C07F1" w:rsidRDefault="00793F10" w:rsidP="007861FB">
      <w:pPr>
        <w:pStyle w:val="Level8"/>
        <w:widowControl/>
        <w:numPr>
          <w:ilvl w:val="1"/>
          <w:numId w:val="17"/>
        </w:numPr>
        <w:tabs>
          <w:tab w:val="clear" w:pos="1440"/>
          <w:tab w:val="left" w:pos="-1440"/>
          <w:tab w:val="left" w:pos="-720"/>
          <w:tab w:val="left" w:pos="-180"/>
        </w:tabs>
        <w:spacing w:after="180"/>
        <w:rPr>
          <w:rFonts w:ascii="Tahoma" w:hAnsi="Tahoma" w:cs="Tahoma"/>
          <w:sz w:val="22"/>
          <w:lang w:val="en-AU"/>
        </w:rPr>
      </w:pPr>
      <w:r>
        <w:rPr>
          <w:rFonts w:ascii="Tahoma" w:hAnsi="Tahoma" w:cs="Tahoma"/>
          <w:color w:val="000000"/>
          <w:sz w:val="22"/>
          <w:lang w:val="en-AU"/>
        </w:rPr>
        <w:t>m</w:t>
      </w:r>
      <w:r w:rsidR="003C07F1" w:rsidRPr="000849FA">
        <w:rPr>
          <w:rFonts w:ascii="Tahoma" w:hAnsi="Tahoma" w:cs="Tahoma"/>
          <w:color w:val="000000"/>
          <w:sz w:val="22"/>
          <w:lang w:val="en-AU"/>
        </w:rPr>
        <w:t>ultinational</w:t>
      </w:r>
      <w:r w:rsidR="003C07F1" w:rsidRPr="003C07F1">
        <w:rPr>
          <w:rFonts w:ascii="Tahoma" w:hAnsi="Tahoma" w:cs="Tahoma"/>
          <w:sz w:val="22"/>
          <w:lang w:val="en-AU"/>
        </w:rPr>
        <w:t xml:space="preserve"> companies moving to all parts of the world</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sz w:val="22"/>
          <w:lang w:val="en-AU"/>
        </w:rPr>
        <w:t xml:space="preserve">As </w:t>
      </w:r>
      <w:r w:rsidRPr="005B64F4">
        <w:rPr>
          <w:rFonts w:ascii="Tahoma" w:hAnsi="Tahoma" w:cs="Tahoma"/>
          <w:color w:val="000000"/>
          <w:sz w:val="22"/>
          <w:lang w:val="en-AU"/>
        </w:rPr>
        <w:t>we</w:t>
      </w:r>
      <w:r w:rsidRPr="003C07F1">
        <w:rPr>
          <w:rFonts w:ascii="Tahoma" w:hAnsi="Tahoma" w:cs="Tahoma"/>
          <w:sz w:val="22"/>
          <w:lang w:val="en-AU"/>
        </w:rPr>
        <w:t xml:space="preserve"> focus more specifically on </w:t>
      </w:r>
      <w:smartTag w:uri="urn:schemas-microsoft-com:office:smarttags" w:element="place">
        <w:smartTag w:uri="urn:schemas-microsoft-com:office:smarttags" w:element="country-region">
          <w:r w:rsidRPr="003C07F1">
            <w:rPr>
              <w:rFonts w:ascii="Tahoma" w:hAnsi="Tahoma" w:cs="Tahoma"/>
              <w:sz w:val="22"/>
              <w:lang w:val="en-AU"/>
            </w:rPr>
            <w:t>Canada</w:t>
          </w:r>
        </w:smartTag>
      </w:smartTag>
      <w:r w:rsidRPr="003C07F1">
        <w:rPr>
          <w:rFonts w:ascii="Tahoma" w:hAnsi="Tahoma" w:cs="Tahoma"/>
          <w:sz w:val="22"/>
          <w:lang w:val="en-AU"/>
        </w:rPr>
        <w:t>, we can identify areas where demand is expected to be high. These include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t</w:t>
      </w:r>
      <w:r w:rsidR="003C07F1" w:rsidRPr="003C07F1">
        <w:rPr>
          <w:rFonts w:ascii="Tahoma" w:hAnsi="Tahoma" w:cs="Tahoma"/>
          <w:color w:val="000000"/>
          <w:sz w:val="22"/>
          <w:lang w:val="en-AU"/>
        </w:rPr>
        <w:t>he information technology sector—huge growth but for a relatively small and</w:t>
      </w:r>
      <w:r w:rsidR="005A679D">
        <w:rPr>
          <w:rFonts w:ascii="Tahoma" w:hAnsi="Tahoma" w:cs="Tahoma"/>
          <w:color w:val="000000"/>
          <w:sz w:val="22"/>
          <w:lang w:val="en-AU"/>
        </w:rPr>
        <w:t xml:space="preserve"> </w:t>
      </w:r>
      <w:r w:rsidR="003C07F1" w:rsidRPr="003C07F1">
        <w:rPr>
          <w:rFonts w:ascii="Tahoma" w:hAnsi="Tahoma" w:cs="Tahoma"/>
          <w:color w:val="000000"/>
          <w:sz w:val="22"/>
          <w:lang w:val="en-AU"/>
        </w:rPr>
        <w:t>specialized number of people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b</w:t>
      </w:r>
      <w:r w:rsidR="003C07F1" w:rsidRPr="003C07F1">
        <w:rPr>
          <w:rFonts w:ascii="Tahoma" w:hAnsi="Tahoma" w:cs="Tahoma"/>
          <w:color w:val="000000"/>
          <w:sz w:val="22"/>
          <w:lang w:val="en-AU"/>
        </w:rPr>
        <w:t>usiness, financial advisory</w:t>
      </w:r>
      <w:r w:rsidR="00EB1CF9">
        <w:rPr>
          <w:rFonts w:ascii="Tahoma" w:hAnsi="Tahoma" w:cs="Tahoma"/>
          <w:color w:val="000000"/>
          <w:sz w:val="22"/>
          <w:lang w:val="en-AU"/>
        </w:rPr>
        <w:t xml:space="preserve">, </w:t>
      </w:r>
      <w:r w:rsidR="003C07F1" w:rsidRPr="003C07F1">
        <w:rPr>
          <w:rFonts w:ascii="Tahoma" w:hAnsi="Tahoma" w:cs="Tahoma"/>
          <w:color w:val="000000"/>
          <w:sz w:val="22"/>
          <w:lang w:val="en-AU"/>
        </w:rPr>
        <w:t>and personal services—significant growth for much larger</w:t>
      </w:r>
      <w:r w:rsidR="005A679D">
        <w:rPr>
          <w:rFonts w:ascii="Tahoma" w:hAnsi="Tahoma" w:cs="Tahoma"/>
          <w:color w:val="000000"/>
          <w:sz w:val="22"/>
          <w:lang w:val="en-AU"/>
        </w:rPr>
        <w:t xml:space="preserve"> </w:t>
      </w:r>
      <w:r w:rsidR="003C07F1" w:rsidRPr="003C07F1">
        <w:rPr>
          <w:rFonts w:ascii="Tahoma" w:hAnsi="Tahoma" w:cs="Tahoma"/>
          <w:color w:val="000000"/>
          <w:sz w:val="22"/>
          <w:lang w:val="en-AU"/>
        </w:rPr>
        <w:t>numbers of people as organizations contract out services, and families buy needed services now that two-income earners have become increasingly the norm</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h</w:t>
      </w:r>
      <w:r w:rsidR="003C07F1" w:rsidRPr="003C07F1">
        <w:rPr>
          <w:rFonts w:ascii="Tahoma" w:hAnsi="Tahoma" w:cs="Tahoma"/>
          <w:color w:val="000000"/>
          <w:sz w:val="22"/>
          <w:lang w:val="en-AU"/>
        </w:rPr>
        <w:t>ealth and education—predicted to be on the rise after a long period of decline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s</w:t>
      </w:r>
      <w:r w:rsidR="003C07F1" w:rsidRPr="003C07F1">
        <w:rPr>
          <w:rFonts w:ascii="Tahoma" w:hAnsi="Tahoma" w:cs="Tahoma"/>
          <w:color w:val="000000"/>
          <w:sz w:val="22"/>
          <w:lang w:val="en-AU"/>
        </w:rPr>
        <w:t>killed trades people—in demand</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t</w:t>
      </w:r>
      <w:r w:rsidR="003C07F1" w:rsidRPr="003C07F1">
        <w:rPr>
          <w:rFonts w:ascii="Tahoma" w:hAnsi="Tahoma" w:cs="Tahoma"/>
          <w:color w:val="000000"/>
          <w:sz w:val="22"/>
          <w:lang w:val="en-AU"/>
        </w:rPr>
        <w:t>ourism—large growth as baby boomers age and have disposable incomes</w:t>
      </w:r>
    </w:p>
    <w:p w:rsidR="003C07F1" w:rsidRPr="003C07F1" w:rsidRDefault="005A1152" w:rsidP="007861FB">
      <w:pPr>
        <w:pStyle w:val="Level8"/>
        <w:widowControl/>
        <w:numPr>
          <w:ilvl w:val="1"/>
          <w:numId w:val="17"/>
        </w:numPr>
        <w:tabs>
          <w:tab w:val="clear" w:pos="1440"/>
          <w:tab w:val="left" w:pos="-1440"/>
          <w:tab w:val="left" w:pos="-720"/>
          <w:tab w:val="left" w:pos="-180"/>
        </w:tabs>
        <w:spacing w:after="180"/>
        <w:rPr>
          <w:rFonts w:ascii="Tahoma" w:hAnsi="Tahoma" w:cs="Tahoma"/>
          <w:color w:val="000000"/>
          <w:sz w:val="22"/>
          <w:lang w:val="en-AU"/>
        </w:rPr>
      </w:pPr>
      <w:r>
        <w:rPr>
          <w:rFonts w:ascii="Tahoma" w:hAnsi="Tahoma" w:cs="Tahoma"/>
          <w:color w:val="000000"/>
          <w:sz w:val="22"/>
          <w:lang w:val="en-AU"/>
        </w:rPr>
        <w:t>s</w:t>
      </w:r>
      <w:r w:rsidR="003C07F1" w:rsidRPr="003C07F1">
        <w:rPr>
          <w:rFonts w:ascii="Tahoma" w:hAnsi="Tahoma" w:cs="Tahoma"/>
          <w:color w:val="000000"/>
          <w:sz w:val="22"/>
          <w:lang w:val="en-AU"/>
        </w:rPr>
        <w:t xml:space="preserve">mall business—huge growth here </w:t>
      </w:r>
      <w:r w:rsidR="003C07F1" w:rsidRPr="000849FA">
        <w:rPr>
          <w:rFonts w:ascii="Tahoma" w:hAnsi="Tahoma" w:cs="Tahoma"/>
          <w:sz w:val="22"/>
          <w:lang w:val="en-AU"/>
        </w:rPr>
        <w:t>and</w:t>
      </w:r>
      <w:r w:rsidR="003C07F1" w:rsidRPr="003C07F1">
        <w:rPr>
          <w:rFonts w:ascii="Tahoma" w:hAnsi="Tahoma" w:cs="Tahoma"/>
          <w:color w:val="000000"/>
          <w:sz w:val="22"/>
          <w:lang w:val="en-AU"/>
        </w:rPr>
        <w:t xml:space="preserve"> in the services small business needs to survive</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These are general across the country. One needs, of course, to look in one’s own province and </w:t>
      </w:r>
      <w:r w:rsidRPr="005B64F4">
        <w:rPr>
          <w:rFonts w:ascii="Tahoma" w:hAnsi="Tahoma" w:cs="Tahoma"/>
          <w:sz w:val="22"/>
          <w:lang w:val="en-AU"/>
        </w:rPr>
        <w:t>region</w:t>
      </w:r>
      <w:r w:rsidRPr="003C07F1">
        <w:rPr>
          <w:rFonts w:ascii="Tahoma" w:hAnsi="Tahoma" w:cs="Tahoma"/>
          <w:color w:val="000000"/>
          <w:sz w:val="22"/>
          <w:lang w:val="en-AU"/>
        </w:rPr>
        <w:t xml:space="preserve"> to see which of these trends is growing fastest at home.</w:t>
      </w:r>
    </w:p>
    <w:p w:rsidR="00FC326E" w:rsidRDefault="00FC326E"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sectPr w:rsidR="00FC326E" w:rsidSect="00E12B2E">
          <w:headerReference w:type="default" r:id="rId7"/>
          <w:pgSz w:w="12240" w:h="15840" w:code="1"/>
          <w:pgMar w:top="1440" w:right="1440" w:bottom="1080" w:left="1440" w:header="720" w:footer="720" w:gutter="0"/>
          <w:cols w:space="720"/>
          <w:docGrid w:linePitch="360"/>
        </w:sectPr>
      </w:pPr>
    </w:p>
    <w:p w:rsidR="003C07F1" w:rsidRP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There has been a lot of</w:t>
      </w:r>
      <w:r w:rsidRPr="00651029">
        <w:rPr>
          <w:rFonts w:ascii="Tahoma" w:hAnsi="Tahoma" w:cs="Tahoma"/>
          <w:color w:val="000000"/>
          <w:sz w:val="22"/>
          <w:lang w:val="en-CA"/>
        </w:rPr>
        <w:t xml:space="preserve"> </w:t>
      </w:r>
      <w:proofErr w:type="spellStart"/>
      <w:r w:rsidRPr="00651029">
        <w:rPr>
          <w:rFonts w:ascii="Tahoma" w:hAnsi="Tahoma" w:cs="Tahoma"/>
          <w:color w:val="000000"/>
          <w:sz w:val="22"/>
          <w:lang w:val="en-CA"/>
        </w:rPr>
        <w:t>doomsaying</w:t>
      </w:r>
      <w:proofErr w:type="spellEnd"/>
      <w:r w:rsidRPr="003C07F1">
        <w:rPr>
          <w:rFonts w:ascii="Tahoma" w:hAnsi="Tahoma" w:cs="Tahoma"/>
          <w:color w:val="000000"/>
          <w:sz w:val="22"/>
          <w:lang w:val="en-AU"/>
        </w:rPr>
        <w:t xml:space="preserve"> about the future of work and a lot of speculation about a jobless future. Many studies are now showing that there is little substance to these predictions. Predicting the future of work is risky business and a very inexact science. This is why we need to place so much emphasis on personal research. There are no certain answers—only signposts along the way.</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We know that while some areas of work disappear, others are created. And many suggest that the future workplace will be more challenging, more competitive</w:t>
      </w:r>
      <w:r w:rsidR="004F7CD5">
        <w:rPr>
          <w:rFonts w:ascii="Tahoma" w:hAnsi="Tahoma" w:cs="Tahoma"/>
          <w:color w:val="000000"/>
          <w:sz w:val="22"/>
          <w:lang w:val="en-AU"/>
        </w:rPr>
        <w:t xml:space="preserve">, </w:t>
      </w:r>
      <w:r w:rsidRPr="003C07F1">
        <w:rPr>
          <w:rFonts w:ascii="Tahoma" w:hAnsi="Tahoma" w:cs="Tahoma"/>
          <w:color w:val="000000"/>
          <w:sz w:val="22"/>
          <w:lang w:val="en-AU"/>
        </w:rPr>
        <w:t>and less accessible for unskilled people and/or those with outdated skills who do not upgrade and pursue training to stay current. This has huge implications for our teens.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The labour market outlook for youth is always particularly challenging. Youth unemployment has long been significantly above the adult unemployment rate and remains a national concern. There are important work challenges and difficulties for youth in </w:t>
      </w:r>
      <w:smartTag w:uri="urn:schemas-microsoft-com:office:smarttags" w:element="place">
        <w:smartTag w:uri="urn:schemas-microsoft-com:office:smarttags" w:element="country-region">
          <w:r w:rsidRPr="003C07F1">
            <w:rPr>
              <w:rFonts w:ascii="Tahoma" w:hAnsi="Tahoma" w:cs="Tahoma"/>
              <w:color w:val="000000"/>
              <w:sz w:val="22"/>
              <w:lang w:val="en-AU"/>
            </w:rPr>
            <w:t>Canada</w:t>
          </w:r>
        </w:smartTag>
      </w:smartTag>
      <w:r w:rsidRPr="003C07F1">
        <w:rPr>
          <w:rFonts w:ascii="Tahoma" w:hAnsi="Tahoma" w:cs="Tahoma"/>
          <w:color w:val="000000"/>
          <w:sz w:val="22"/>
          <w:lang w:val="en-AU"/>
        </w:rPr>
        <w:t xml:space="preserve"> now. If we understand some of these, we can begin to think about how to “inoculate” our teens insofar as we can and how to help them manoeuvre cleverly, understanding where the vulnerabilities are and preparing themselves accordingly.</w:t>
      </w:r>
    </w:p>
    <w:p w:rsidR="003C07F1" w:rsidRPr="003C07F1" w:rsidRDefault="003C07F1" w:rsidP="007861FB">
      <w:pPr>
        <w:tabs>
          <w:tab w:val="left" w:pos="-1440"/>
          <w:tab w:val="left" w:pos="-720"/>
          <w:tab w:val="left" w:pos="-18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rPr>
          <w:rFonts w:ascii="Tahoma" w:hAnsi="Tahoma" w:cs="Tahoma"/>
          <w:color w:val="000000"/>
          <w:sz w:val="22"/>
          <w:lang w:val="en-AU"/>
        </w:rPr>
      </w:pPr>
      <w:r w:rsidRPr="003C07F1">
        <w:rPr>
          <w:rFonts w:ascii="Tahoma" w:hAnsi="Tahoma" w:cs="Tahoma"/>
          <w:color w:val="000000"/>
          <w:sz w:val="22"/>
          <w:lang w:val="en-AU"/>
        </w:rPr>
        <w:t>So let’s start with the bad news first, remembering that these are only trends and not necessarily facts!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There is a growing polarization in the Canadian labour market affecting both youth and adults—a gap between who gets work and who doesn’t, who is rich and who isn’t.</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In a 1990 survey, one in six Canadians described himself as poor; one in 20 as wealthy; the rest clustered in the middle. In 1995, over 20% of those who had been “better off” reported being </w:t>
      </w:r>
      <w:r w:rsidRPr="003C07F1">
        <w:rPr>
          <w:rFonts w:ascii="Tahoma" w:hAnsi="Tahoma" w:cs="Tahoma"/>
          <w:color w:val="000000"/>
          <w:sz w:val="22"/>
          <w:u w:val="single"/>
          <w:lang w:val="en-AU"/>
        </w:rPr>
        <w:t>less</w:t>
      </w:r>
      <w:r w:rsidRPr="003C07F1">
        <w:rPr>
          <w:rFonts w:ascii="Tahoma" w:hAnsi="Tahoma" w:cs="Tahoma"/>
          <w:color w:val="000000"/>
          <w:sz w:val="22"/>
          <w:lang w:val="en-AU"/>
        </w:rPr>
        <w:t xml:space="preserve"> well off; 64% of the “poor” were also </w:t>
      </w:r>
      <w:r w:rsidRPr="003C07F1">
        <w:rPr>
          <w:rFonts w:ascii="Tahoma" w:hAnsi="Tahoma" w:cs="Tahoma"/>
          <w:color w:val="000000"/>
          <w:sz w:val="22"/>
          <w:u w:val="single"/>
          <w:lang w:val="en-AU"/>
        </w:rPr>
        <w:t>less</w:t>
      </w:r>
      <w:r w:rsidRPr="003C07F1">
        <w:rPr>
          <w:rFonts w:ascii="Tahoma" w:hAnsi="Tahoma" w:cs="Tahoma"/>
          <w:color w:val="000000"/>
          <w:sz w:val="22"/>
          <w:lang w:val="en-AU"/>
        </w:rPr>
        <w:t xml:space="preserve"> well off.</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youth share of the Canadian population was 13.4% in 1996 but their unemployment rate was 25%.</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Young people w</w:t>
      </w:r>
      <w:r w:rsidR="005D7DD8">
        <w:rPr>
          <w:rFonts w:ascii="Tahoma" w:hAnsi="Tahoma" w:cs="Tahoma"/>
          <w:color w:val="000000"/>
          <w:sz w:val="22"/>
          <w:lang w:val="en-AU"/>
        </w:rPr>
        <w:t>ho do not have training beyond G</w:t>
      </w:r>
      <w:r w:rsidRPr="003C07F1">
        <w:rPr>
          <w:rFonts w:ascii="Tahoma" w:hAnsi="Tahoma" w:cs="Tahoma"/>
          <w:color w:val="000000"/>
          <w:sz w:val="22"/>
          <w:lang w:val="en-AU"/>
        </w:rPr>
        <w:t>rade 12 face significant obstacles in accessing good jobs and making enough money to live above the poverty line. While there are jobs for unskilled workers, they are most often low pay, low security</w:t>
      </w:r>
      <w:r w:rsidR="004F7CD5">
        <w:rPr>
          <w:rFonts w:ascii="Tahoma" w:hAnsi="Tahoma" w:cs="Tahoma"/>
          <w:color w:val="000000"/>
          <w:sz w:val="22"/>
          <w:lang w:val="en-AU"/>
        </w:rPr>
        <w:t xml:space="preserve">, </w:t>
      </w:r>
      <w:r w:rsidRPr="003C07F1">
        <w:rPr>
          <w:rFonts w:ascii="Tahoma" w:hAnsi="Tahoma" w:cs="Tahoma"/>
          <w:color w:val="000000"/>
          <w:sz w:val="22"/>
          <w:lang w:val="en-AU"/>
        </w:rPr>
        <w:t>and “dead-end.” Youth need the tools to do well in entry jobs, learn from them</w:t>
      </w:r>
      <w:r w:rsidR="004F7CD5">
        <w:rPr>
          <w:rFonts w:ascii="Tahoma" w:hAnsi="Tahoma" w:cs="Tahoma"/>
          <w:color w:val="000000"/>
          <w:sz w:val="22"/>
          <w:lang w:val="en-AU"/>
        </w:rPr>
        <w:t xml:space="preserve">, </w:t>
      </w:r>
      <w:r w:rsidRPr="003C07F1">
        <w:rPr>
          <w:rFonts w:ascii="Tahoma" w:hAnsi="Tahoma" w:cs="Tahoma"/>
          <w:color w:val="000000"/>
          <w:sz w:val="22"/>
          <w:lang w:val="en-AU"/>
        </w:rPr>
        <w:t>and move forward. Some of these tools are attitude and the capacity to move cleverly and strategically; another key tool is training.</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Many youth can expect delayed entry to adult roles. Youth are staying in school longer (which is good). They lack work experience (which is not good). The time it takes for them to access work that provides sufficient income to let them leave home is longer. In 1996, 44% of males between the ages of 25 to 29 were living at home; 33% of females were as well. There are many implications of this trend for families, parents</w:t>
      </w:r>
      <w:r w:rsidR="004F7CD5">
        <w:rPr>
          <w:rFonts w:ascii="Tahoma" w:hAnsi="Tahoma" w:cs="Tahoma"/>
          <w:color w:val="000000"/>
          <w:sz w:val="22"/>
          <w:lang w:val="en-AU"/>
        </w:rPr>
        <w:t xml:space="preserve">, </w:t>
      </w:r>
      <w:r w:rsidRPr="003C07F1">
        <w:rPr>
          <w:rFonts w:ascii="Tahoma" w:hAnsi="Tahoma" w:cs="Tahoma"/>
          <w:color w:val="000000"/>
          <w:sz w:val="22"/>
          <w:lang w:val="en-AU"/>
        </w:rPr>
        <w:t>and youth.</w:t>
      </w:r>
    </w:p>
    <w:p w:rsid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pPr>
    </w:p>
    <w:p w:rsidR="00FC326E" w:rsidRDefault="00FC326E"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sectPr w:rsidR="00FC326E" w:rsidSect="00E12B2E">
          <w:headerReference w:type="default" r:id="rId8"/>
          <w:pgSz w:w="12240" w:h="15840" w:code="1"/>
          <w:pgMar w:top="1440" w:right="1440" w:bottom="1080" w:left="1440" w:header="720" w:footer="720" w:gutter="0"/>
          <w:cols w:space="720"/>
          <w:docGrid w:linePitch="360"/>
        </w:sectPr>
      </w:pPr>
    </w:p>
    <w:p w:rsid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880"/>
          <w:tab w:val="left" w:pos="3240"/>
          <w:tab w:val="left" w:pos="3600"/>
          <w:tab w:val="left" w:pos="4320"/>
          <w:tab w:val="left" w:pos="5040"/>
          <w:tab w:val="left" w:pos="5760"/>
          <w:tab w:val="left" w:pos="6480"/>
          <w:tab w:val="left" w:pos="7200"/>
          <w:tab w:val="left" w:pos="7920"/>
        </w:tabs>
        <w:spacing w:after="180"/>
        <w:jc w:val="both"/>
        <w:outlineLvl w:val="9"/>
        <w:rPr>
          <w:rFonts w:ascii="Tahoma" w:hAnsi="Tahoma" w:cs="Tahoma"/>
          <w:color w:val="000000"/>
          <w:sz w:val="22"/>
          <w:lang w:val="en-AU"/>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Among youth, an important issue is underemployment. We need to be very concerned about this. As we emphasize education, we imply that if youth complete schooling successfully, there will be challenging interesting work that is “big enough for their spirit” waiting for them. In a 1992 survey, 31% of high school graduates and 20% of university graduates reported being overqualified for their jobs seven years after graduation. While university graduation still remains a good insurance policy against unemployment, those in non-professional faculties (e.g., humanities and sciences) tend to find work, but not necessarily in their field and not using their talents and skills to their full potential. Many, indeed most, do eventually find work in their field but it takes longer—and it takes effort. For those in professional faculties (e.g., engineering), this is much less the case. </w:t>
      </w:r>
      <w:proofErr w:type="gramStart"/>
      <w:r w:rsidRPr="003C07F1">
        <w:rPr>
          <w:rFonts w:ascii="Tahoma" w:hAnsi="Tahoma" w:cs="Tahoma"/>
          <w:color w:val="000000"/>
          <w:sz w:val="22"/>
          <w:lang w:val="en-AU"/>
        </w:rPr>
        <w:t>This points</w:t>
      </w:r>
      <w:proofErr w:type="gramEnd"/>
      <w:r w:rsidRPr="003C07F1">
        <w:rPr>
          <w:rFonts w:ascii="Tahoma" w:hAnsi="Tahoma" w:cs="Tahoma"/>
          <w:color w:val="000000"/>
          <w:sz w:val="22"/>
          <w:lang w:val="en-AU"/>
        </w:rPr>
        <w:t xml:space="preserve"> to the advantage of post-secondary training in a profession or skilled trade area, at least in the short term.</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color w:val="000000"/>
          <w:sz w:val="22"/>
          <w:lang w:val="en-AU"/>
        </w:rPr>
        <w:t>The issue of “quality work” for youth is also a serious concern. Government policies have focused on creating entry-level jobs and on raising the employment rate for youth. There has been much more of a focus on increasing the quantity of jobs than on what Graham Lowe calls “quality jobs.” Yet survey after survey indicates that youth want quality, not just quantity. Quality jobs are those that offer enough challenge, interest, decent people to work with, reasonable compensation</w:t>
      </w:r>
      <w:r w:rsidR="00EC72CE">
        <w:rPr>
          <w:rFonts w:ascii="Tahoma" w:hAnsi="Tahoma" w:cs="Tahoma"/>
          <w:color w:val="000000"/>
          <w:sz w:val="22"/>
          <w:lang w:val="en-AU"/>
        </w:rPr>
        <w:t xml:space="preserve">, </w:t>
      </w:r>
      <w:r w:rsidRPr="003C07F1">
        <w:rPr>
          <w:rFonts w:ascii="Tahoma" w:hAnsi="Tahoma" w:cs="Tahoma"/>
          <w:color w:val="000000"/>
          <w:sz w:val="22"/>
          <w:lang w:val="en-AU"/>
        </w:rPr>
        <w:t xml:space="preserve">and some level of security. </w:t>
      </w:r>
      <w:r w:rsidRPr="003C07F1">
        <w:rPr>
          <w:rFonts w:ascii="Tahoma" w:hAnsi="Tahoma" w:cs="Tahoma"/>
          <w:color w:val="000000"/>
          <w:sz w:val="22"/>
          <w:u w:val="single"/>
          <w:lang w:val="en-AU"/>
        </w:rPr>
        <w:t>Youth need to understand quality, know how to seek it out and become their own quality control managers</w:t>
      </w:r>
      <w:r w:rsidRPr="003C07F1">
        <w:rPr>
          <w:rFonts w:ascii="Tahoma" w:hAnsi="Tahoma" w:cs="Tahoma"/>
          <w:color w:val="000000"/>
          <w:sz w:val="22"/>
          <w:lang w:val="en-AU"/>
        </w:rPr>
        <w:t>. This is critical to manoeuvre. Part of this is to become clever and strategic about terms like “flexible” and “just-in-time” workforce. These can offer huge advantages for those who know how to manoeuvre; for those who do not, however, they can benefit only the employer who can get their work done, provide low wages, no training, no benefits</w:t>
      </w:r>
      <w:r w:rsidR="00EC72CE">
        <w:rPr>
          <w:rFonts w:ascii="Tahoma" w:hAnsi="Tahoma" w:cs="Tahoma"/>
          <w:color w:val="000000"/>
          <w:sz w:val="22"/>
          <w:lang w:val="en-AU"/>
        </w:rPr>
        <w:t xml:space="preserve">, </w:t>
      </w:r>
      <w:r w:rsidRPr="003C07F1">
        <w:rPr>
          <w:rFonts w:ascii="Tahoma" w:hAnsi="Tahoma" w:cs="Tahoma"/>
          <w:color w:val="000000"/>
          <w:sz w:val="22"/>
          <w:lang w:val="en-AU"/>
        </w:rPr>
        <w:t>and let youth go “just in time.”</w:t>
      </w:r>
    </w:p>
    <w:p w:rsidR="003C07F1" w:rsidRPr="003C07F1" w:rsidRDefault="003C07F1" w:rsidP="007861FB">
      <w:pPr>
        <w:pStyle w:val="Level1"/>
        <w:widowControl/>
        <w:numPr>
          <w:ilvl w:val="0"/>
          <w:numId w:val="0"/>
        </w:numPr>
        <w:tabs>
          <w:tab w:val="left" w:pos="-1440"/>
          <w:tab w:val="left" w:pos="-720"/>
          <w:tab w:val="left" w:pos="-18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outlineLvl w:val="9"/>
        <w:rPr>
          <w:rFonts w:ascii="Tahoma" w:hAnsi="Tahoma" w:cs="Tahoma"/>
          <w:sz w:val="22"/>
          <w:lang w:val="en-AU"/>
        </w:rPr>
      </w:pPr>
      <w:r w:rsidRPr="003C07F1">
        <w:rPr>
          <w:rFonts w:ascii="Tahoma" w:hAnsi="Tahoma" w:cs="Tahoma"/>
          <w:sz w:val="22"/>
          <w:lang w:val="en-AU"/>
        </w:rPr>
        <w:t xml:space="preserve">So that is the bad </w:t>
      </w:r>
      <w:r w:rsidR="00B731C8">
        <w:rPr>
          <w:rFonts w:ascii="Tahoma" w:hAnsi="Tahoma" w:cs="Tahoma"/>
          <w:sz w:val="22"/>
          <w:lang w:val="en-AU"/>
        </w:rPr>
        <w:t>news. There is also good news . . .</w:t>
      </w:r>
      <w:r w:rsidRPr="003C07F1">
        <w:rPr>
          <w:rFonts w:ascii="Tahoma" w:hAnsi="Tahoma" w:cs="Tahoma"/>
          <w:sz w:val="22"/>
          <w:lang w:val="en-AU"/>
        </w:rPr>
        <w:t xml:space="preserve"> and a good amount of it!</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work</w:t>
      </w:r>
      <w:r w:rsidR="00EC72CE">
        <w:rPr>
          <w:rFonts w:ascii="Tahoma" w:hAnsi="Tahoma" w:cs="Tahoma"/>
          <w:color w:val="000000"/>
          <w:sz w:val="22"/>
          <w:lang w:val="en-AU"/>
        </w:rPr>
        <w:t xml:space="preserve"> that is being created </w:t>
      </w:r>
      <w:r w:rsidRPr="003C07F1">
        <w:rPr>
          <w:rFonts w:ascii="Tahoma" w:hAnsi="Tahoma" w:cs="Tahoma"/>
          <w:color w:val="000000"/>
          <w:sz w:val="22"/>
          <w:lang w:val="en-AU"/>
        </w:rPr>
        <w:t>seems to be distributed across levels of training and education approximately equally—30% requiring university; 30% requiring post-secondary training and skilled trades training; 30% requiring grade 12; and 12% less than grade 12. Most jobs still require “moderate” levels of skill to enter. This is not what we tend to hear in the media where technology hype makes it sound like all workers need to be technological wizards. High skill jobs in the information technology sector remain a relatively small percentage of the overall workforce. Interestingly enough, a majority of Canadians have more computer ability than is actually required for the jobs they do. The vulnerability of the 12% who do not complete secondary school (and even those who do complete it but do not pursue additional training) is a concern for certain. Both need to learn to be clever and to manage their learning in order to progress. With the right skills and strategies, it is possible.</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Youth seek and want quality jobs. They want challenging and meaningful work, </w:t>
      </w:r>
      <w:r w:rsidRPr="003C07F1">
        <w:rPr>
          <w:rFonts w:ascii="Tahoma" w:hAnsi="Tahoma" w:cs="Tahoma"/>
          <w:color w:val="000000"/>
          <w:sz w:val="22"/>
          <w:u w:val="single"/>
          <w:lang w:val="en-AU"/>
        </w:rPr>
        <w:t>AND</w:t>
      </w:r>
      <w:r w:rsidRPr="003C07F1">
        <w:rPr>
          <w:rFonts w:ascii="Tahoma" w:hAnsi="Tahoma" w:cs="Tahoma"/>
          <w:color w:val="000000"/>
          <w:sz w:val="22"/>
          <w:lang w:val="en-AU"/>
        </w:rPr>
        <w:t xml:space="preserve"> they have a strong work ethic when the work “matters.” Again this is contrary to how youth are often depicted.</w:t>
      </w:r>
    </w:p>
    <w:p w:rsidR="003C07F1" w:rsidRPr="003C07F1" w:rsidRDefault="003C07F1" w:rsidP="003C07F1">
      <w:pPr>
        <w:pStyle w:val="Level6"/>
        <w:widowControl/>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0" w:firstLine="0"/>
        <w:jc w:val="both"/>
        <w:rPr>
          <w:rFonts w:ascii="Tahoma" w:hAnsi="Tahoma" w:cs="Tahoma"/>
          <w:color w:val="000000"/>
          <w:sz w:val="22"/>
          <w:lang w:val="en-AU"/>
        </w:rPr>
      </w:pPr>
    </w:p>
    <w:p w:rsidR="00FC326E" w:rsidRDefault="00FC326E" w:rsidP="002836B9">
      <w:pPr>
        <w:pStyle w:val="Level6"/>
        <w:widowControl/>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0" w:firstLine="0"/>
        <w:jc w:val="both"/>
        <w:rPr>
          <w:rFonts w:ascii="Tahoma" w:hAnsi="Tahoma" w:cs="Tahoma"/>
          <w:sz w:val="22"/>
          <w:lang w:val="en-AU"/>
        </w:rPr>
        <w:sectPr w:rsidR="00FC326E" w:rsidSect="00E12B2E">
          <w:headerReference w:type="default" r:id="rId9"/>
          <w:pgSz w:w="12240" w:h="15840" w:code="1"/>
          <w:pgMar w:top="1440" w:right="1440" w:bottom="1080" w:left="1440" w:header="720" w:footer="720" w:gutter="0"/>
          <w:cols w:space="720"/>
          <w:docGrid w:linePitch="360"/>
        </w:sect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sz w:val="22"/>
          <w:lang w:val="en-AU"/>
        </w:rPr>
        <w:t xml:space="preserve">Small business is a huge growth sector in </w:t>
      </w:r>
      <w:smartTag w:uri="urn:schemas-microsoft-com:office:smarttags" w:element="place">
        <w:smartTag w:uri="urn:schemas-microsoft-com:office:smarttags" w:element="country-region">
          <w:r w:rsidRPr="003C07F1">
            <w:rPr>
              <w:rFonts w:ascii="Tahoma" w:hAnsi="Tahoma" w:cs="Tahoma"/>
              <w:sz w:val="22"/>
              <w:lang w:val="en-AU"/>
            </w:rPr>
            <w:t>Canada</w:t>
          </w:r>
        </w:smartTag>
      </w:smartTag>
      <w:r w:rsidRPr="003C07F1">
        <w:rPr>
          <w:rFonts w:ascii="Tahoma" w:hAnsi="Tahoma" w:cs="Tahoma"/>
          <w:sz w:val="22"/>
          <w:lang w:val="en-AU"/>
        </w:rPr>
        <w:t xml:space="preserve"> and presents enormous oppor</w:t>
      </w:r>
      <w:r w:rsidRPr="003C07F1">
        <w:rPr>
          <w:rFonts w:ascii="Tahoma" w:hAnsi="Tahoma" w:cs="Tahoma"/>
          <w:sz w:val="22"/>
          <w:lang w:val="en-AU"/>
        </w:rPr>
        <w:softHyphen/>
        <w:t>tu</w:t>
      </w:r>
      <w:r w:rsidRPr="003C07F1">
        <w:rPr>
          <w:rFonts w:ascii="Tahoma" w:hAnsi="Tahoma" w:cs="Tahoma"/>
          <w:sz w:val="22"/>
          <w:lang w:val="en-AU"/>
        </w:rPr>
        <w:softHyphen/>
        <w:t>nity for youth with an entrepreneurial spirit and/or who want to work for entrepre</w:t>
      </w:r>
      <w:r w:rsidRPr="003C07F1">
        <w:rPr>
          <w:rFonts w:ascii="Tahoma" w:hAnsi="Tahoma" w:cs="Tahoma"/>
          <w:sz w:val="22"/>
          <w:lang w:val="en-AU"/>
        </w:rPr>
        <w:softHyphen/>
        <w:t xml:space="preserve">neurs. Small business needs most of the services of big business, just on a smaller scale. So, whether youth want to manage </w:t>
      </w:r>
      <w:proofErr w:type="gramStart"/>
      <w:r w:rsidRPr="003C07F1">
        <w:rPr>
          <w:rFonts w:ascii="Tahoma" w:hAnsi="Tahoma" w:cs="Tahoma"/>
          <w:sz w:val="22"/>
          <w:lang w:val="en-AU"/>
        </w:rPr>
        <w:t>their own</w:t>
      </w:r>
      <w:proofErr w:type="gramEnd"/>
      <w:r w:rsidRPr="003C07F1">
        <w:rPr>
          <w:rFonts w:ascii="Tahoma" w:hAnsi="Tahoma" w:cs="Tahoma"/>
          <w:sz w:val="22"/>
          <w:lang w:val="en-AU"/>
        </w:rPr>
        <w:t xml:space="preserve"> small business or service an existing one, there is opportunity.</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sz w:val="22"/>
          <w:lang w:val="en-AU"/>
        </w:rPr>
        <w:t xml:space="preserve">Finally, by 2010 demographics should work strongly in favour of youth. By then, there will be fewer </w:t>
      </w:r>
      <w:r w:rsidRPr="005B64F4">
        <w:rPr>
          <w:rFonts w:ascii="Tahoma" w:hAnsi="Tahoma" w:cs="Tahoma"/>
          <w:color w:val="000000"/>
          <w:sz w:val="22"/>
          <w:lang w:val="en-AU"/>
        </w:rPr>
        <w:t>youth</w:t>
      </w:r>
      <w:r w:rsidRPr="003C07F1">
        <w:rPr>
          <w:rFonts w:ascii="Tahoma" w:hAnsi="Tahoma" w:cs="Tahoma"/>
          <w:sz w:val="22"/>
          <w:lang w:val="en-AU"/>
        </w:rPr>
        <w:t xml:space="preserve"> entering the workforce and many baby boomers will have exited. Workers are expected to be in high demand and youth may become hot commodities. When commodities are hot, there is competition and employers must invest in training and incentives to attract good people. We already see this now in the high tech sector. We are beginning to see it in other sectors as well, even the retail sector. So demographics will help.</w:t>
      </w: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E6151" w:rsidRDefault="003E615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Pr="00056161" w:rsidRDefault="003C07F1" w:rsidP="003C07F1">
      <w:pPr>
        <w:rPr>
          <w:rFonts w:ascii="Tahoma" w:hAnsi="Tahoma" w:cs="Tahoma"/>
          <w:i/>
          <w:sz w:val="16"/>
          <w:szCs w:val="16"/>
          <w:lang w:val="en-AU"/>
        </w:rPr>
      </w:pPr>
      <w:r w:rsidRPr="00056161">
        <w:rPr>
          <w:rFonts w:ascii="Tahoma" w:hAnsi="Tahoma" w:cs="Tahoma"/>
          <w:sz w:val="16"/>
          <w:szCs w:val="16"/>
        </w:rPr>
        <w:t xml:space="preserve">Source: </w:t>
      </w:r>
      <w:proofErr w:type="spellStart"/>
      <w:r w:rsidRPr="00056161">
        <w:rPr>
          <w:rFonts w:ascii="Tahoma" w:hAnsi="Tahoma" w:cs="Tahoma"/>
          <w:sz w:val="16"/>
          <w:szCs w:val="16"/>
        </w:rPr>
        <w:t>Bezanson</w:t>
      </w:r>
      <w:proofErr w:type="spellEnd"/>
      <w:r w:rsidRPr="00056161">
        <w:rPr>
          <w:rFonts w:ascii="Tahoma" w:hAnsi="Tahoma" w:cs="Tahoma"/>
          <w:sz w:val="16"/>
          <w:szCs w:val="16"/>
        </w:rPr>
        <w:t>, Lynne</w:t>
      </w:r>
      <w:r w:rsidR="001B3EB6">
        <w:rPr>
          <w:rFonts w:ascii="Tahoma" w:hAnsi="Tahoma" w:cs="Tahoma"/>
          <w:sz w:val="16"/>
          <w:szCs w:val="16"/>
        </w:rPr>
        <w:t xml:space="preserve">, </w:t>
      </w:r>
      <w:r w:rsidR="00056161" w:rsidRPr="00056161">
        <w:rPr>
          <w:rFonts w:ascii="Tahoma" w:hAnsi="Tahoma" w:cs="Tahoma"/>
          <w:sz w:val="16"/>
          <w:szCs w:val="16"/>
        </w:rPr>
        <w:t xml:space="preserve">and </w:t>
      </w:r>
      <w:proofErr w:type="spellStart"/>
      <w:r w:rsidR="001B3EB6">
        <w:rPr>
          <w:rFonts w:ascii="Tahoma" w:hAnsi="Tahoma" w:cs="Tahoma"/>
          <w:sz w:val="16"/>
          <w:szCs w:val="16"/>
        </w:rPr>
        <w:t>Sareena</w:t>
      </w:r>
      <w:proofErr w:type="spellEnd"/>
      <w:r w:rsidR="001B3EB6">
        <w:rPr>
          <w:rFonts w:ascii="Tahoma" w:hAnsi="Tahoma" w:cs="Tahoma"/>
          <w:sz w:val="16"/>
          <w:szCs w:val="16"/>
        </w:rPr>
        <w:t xml:space="preserve"> </w:t>
      </w:r>
      <w:r w:rsidR="00056161">
        <w:rPr>
          <w:rFonts w:ascii="Tahoma" w:hAnsi="Tahoma" w:cs="Tahoma"/>
          <w:sz w:val="16"/>
          <w:szCs w:val="16"/>
        </w:rPr>
        <w:t>Hopkins</w:t>
      </w:r>
      <w:r w:rsidR="001B3EB6">
        <w:rPr>
          <w:rFonts w:ascii="Tahoma" w:hAnsi="Tahoma" w:cs="Tahoma"/>
          <w:sz w:val="16"/>
          <w:szCs w:val="16"/>
        </w:rPr>
        <w:t xml:space="preserve"> </w:t>
      </w:r>
      <w:r w:rsidR="00056161">
        <w:rPr>
          <w:rFonts w:ascii="Tahoma" w:hAnsi="Tahoma" w:cs="Tahoma"/>
          <w:sz w:val="16"/>
          <w:szCs w:val="16"/>
        </w:rPr>
        <w:t xml:space="preserve">in </w:t>
      </w:r>
      <w:r w:rsidR="00056161" w:rsidRPr="00056161">
        <w:rPr>
          <w:rFonts w:ascii="Tahoma" w:hAnsi="Tahoma" w:cs="Tahoma"/>
          <w:sz w:val="16"/>
          <w:szCs w:val="16"/>
          <w:lang w:val="en-AU"/>
        </w:rPr>
        <w:t xml:space="preserve">Lorraine </w:t>
      </w:r>
      <w:proofErr w:type="spellStart"/>
      <w:r w:rsidR="00056161" w:rsidRPr="00056161">
        <w:rPr>
          <w:rFonts w:ascii="Tahoma" w:hAnsi="Tahoma" w:cs="Tahoma"/>
          <w:sz w:val="16"/>
          <w:szCs w:val="16"/>
          <w:lang w:val="en-AU"/>
        </w:rPr>
        <w:t>Haché</w:t>
      </w:r>
      <w:proofErr w:type="spellEnd"/>
      <w:r w:rsidR="00056161" w:rsidRPr="00056161">
        <w:rPr>
          <w:rFonts w:ascii="Tahoma" w:hAnsi="Tahoma" w:cs="Tahoma"/>
          <w:sz w:val="16"/>
          <w:szCs w:val="16"/>
          <w:lang w:val="en-AU"/>
        </w:rPr>
        <w:t xml:space="preserve"> and Clarence de </w:t>
      </w:r>
      <w:proofErr w:type="spellStart"/>
      <w:r w:rsidR="00056161" w:rsidRPr="00056161">
        <w:rPr>
          <w:rFonts w:ascii="Tahoma" w:hAnsi="Tahoma" w:cs="Tahoma"/>
          <w:sz w:val="16"/>
          <w:szCs w:val="16"/>
          <w:lang w:val="en-AU"/>
        </w:rPr>
        <w:t>Schiffart</w:t>
      </w:r>
      <w:proofErr w:type="spellEnd"/>
      <w:r w:rsidR="00056161" w:rsidRPr="00056161">
        <w:rPr>
          <w:rFonts w:ascii="Tahoma" w:hAnsi="Tahoma" w:cs="Tahoma"/>
          <w:sz w:val="16"/>
          <w:szCs w:val="16"/>
          <w:lang w:val="en-AU"/>
        </w:rPr>
        <w:t xml:space="preserve">. </w:t>
      </w:r>
      <w:proofErr w:type="gramStart"/>
      <w:r w:rsidR="00056161" w:rsidRPr="003B6830">
        <w:rPr>
          <w:rFonts w:ascii="Tahoma" w:hAnsi="Tahoma" w:cs="Tahoma"/>
          <w:i/>
          <w:sz w:val="16"/>
          <w:szCs w:val="16"/>
        </w:rPr>
        <w:t>Blueprint Implementation Guide</w:t>
      </w:r>
      <w:r w:rsidR="00056161" w:rsidRPr="003B6830">
        <w:rPr>
          <w:rFonts w:ascii="Tahoma" w:hAnsi="Tahoma" w:cs="Tahoma"/>
          <w:sz w:val="16"/>
          <w:szCs w:val="16"/>
        </w:rPr>
        <w:t>.</w:t>
      </w:r>
      <w:proofErr w:type="gramEnd"/>
      <w:r w:rsidR="00056161" w:rsidRPr="003B6830">
        <w:rPr>
          <w:rFonts w:ascii="Tahoma" w:hAnsi="Tahoma" w:cs="Tahoma"/>
          <w:sz w:val="16"/>
          <w:szCs w:val="16"/>
        </w:rPr>
        <w:t xml:space="preserve"> </w:t>
      </w:r>
      <w:proofErr w:type="gramStart"/>
      <w:r w:rsidR="00056161" w:rsidRPr="003B6830">
        <w:rPr>
          <w:rFonts w:ascii="Tahoma" w:hAnsi="Tahoma" w:cs="Tahoma"/>
          <w:sz w:val="16"/>
          <w:szCs w:val="16"/>
        </w:rPr>
        <w:t>National Life/Work Centre et</w:t>
      </w:r>
      <w:r w:rsidR="00056161">
        <w:rPr>
          <w:rFonts w:ascii="Tahoma" w:hAnsi="Tahoma" w:cs="Tahoma"/>
          <w:sz w:val="16"/>
          <w:szCs w:val="16"/>
        </w:rPr>
        <w:t xml:space="preserve"> al.</w:t>
      </w:r>
      <w:r w:rsidR="001B3EB6">
        <w:rPr>
          <w:rFonts w:ascii="Tahoma" w:hAnsi="Tahoma" w:cs="Tahoma"/>
          <w:sz w:val="16"/>
          <w:szCs w:val="16"/>
        </w:rPr>
        <w:t xml:space="preserve">, </w:t>
      </w:r>
      <w:r w:rsidR="00056161">
        <w:rPr>
          <w:rFonts w:ascii="Tahoma" w:hAnsi="Tahoma" w:cs="Tahoma"/>
          <w:sz w:val="16"/>
          <w:szCs w:val="16"/>
        </w:rPr>
        <w:t>2002.</w:t>
      </w:r>
      <w:proofErr w:type="gramEnd"/>
      <w:r w:rsidR="00056161">
        <w:rPr>
          <w:rFonts w:ascii="Tahoma" w:hAnsi="Tahoma" w:cs="Tahoma"/>
          <w:sz w:val="16"/>
          <w:szCs w:val="16"/>
        </w:rPr>
        <w:t xml:space="preserve"> </w:t>
      </w:r>
      <w:proofErr w:type="gramStart"/>
      <w:r w:rsidR="00056161">
        <w:rPr>
          <w:rFonts w:ascii="Tahoma" w:hAnsi="Tahoma" w:cs="Tahoma"/>
          <w:sz w:val="16"/>
          <w:szCs w:val="16"/>
        </w:rPr>
        <w:t>Appendix A12/1</w:t>
      </w:r>
      <w:r w:rsidR="00056161" w:rsidRPr="00056161">
        <w:rPr>
          <w:rFonts w:ascii="Tahoma" w:hAnsi="Tahoma" w:cs="Tahoma"/>
          <w:sz w:val="16"/>
          <w:szCs w:val="16"/>
        </w:rPr>
        <w:t>–</w:t>
      </w:r>
      <w:r w:rsidR="00056161">
        <w:rPr>
          <w:rFonts w:ascii="Tahoma" w:hAnsi="Tahoma" w:cs="Tahoma"/>
          <w:sz w:val="16"/>
          <w:szCs w:val="16"/>
        </w:rPr>
        <w:t>3.</w:t>
      </w:r>
      <w:proofErr w:type="gramEnd"/>
      <w:r w:rsidR="00056161">
        <w:rPr>
          <w:rFonts w:ascii="Tahoma" w:hAnsi="Tahoma" w:cs="Tahoma"/>
          <w:sz w:val="16"/>
          <w:szCs w:val="16"/>
        </w:rPr>
        <w:t xml:space="preserve"> Used with </w:t>
      </w:r>
      <w:r w:rsidR="00056161" w:rsidRPr="00056161">
        <w:rPr>
          <w:rFonts w:ascii="Tahoma" w:hAnsi="Tahoma" w:cs="Tahoma"/>
          <w:sz w:val="16"/>
          <w:szCs w:val="16"/>
        </w:rPr>
        <w:t>permission of National Life/Work Centre.</w:t>
      </w:r>
    </w:p>
    <w:p w:rsidR="00472184" w:rsidRDefault="00472184" w:rsidP="00472184">
      <w:pPr>
        <w:pStyle w:val="BLMText"/>
        <w:jc w:val="left"/>
      </w:pPr>
    </w:p>
    <w:p w:rsidR="00C57A5C" w:rsidRDefault="00C57A5C" w:rsidP="00F54173">
      <w:pPr>
        <w:pStyle w:val="BLMText"/>
        <w:rPr>
          <w:b/>
          <w:sz w:val="24"/>
          <w:szCs w:val="24"/>
        </w:rPr>
      </w:pPr>
    </w:p>
    <w:p w:rsidR="00FC326E" w:rsidRDefault="00FC326E" w:rsidP="00B7650A">
      <w:pPr>
        <w:pStyle w:val="Text"/>
        <w:sectPr w:rsidR="00FC326E" w:rsidSect="00E12B2E">
          <w:headerReference w:type="default" r:id="rId10"/>
          <w:pgSz w:w="12240" w:h="15840" w:code="1"/>
          <w:pgMar w:top="1440" w:right="1440" w:bottom="1080" w:left="1440" w:header="720" w:footer="720" w:gutter="0"/>
          <w:cols w:space="720"/>
          <w:docGrid w:linePitch="360"/>
        </w:sectPr>
      </w:pPr>
    </w:p>
    <w:p w:rsidR="00B7650A" w:rsidRDefault="00B7650A" w:rsidP="00B7650A">
      <w:pPr>
        <w:pStyle w:val="Text"/>
      </w:pPr>
    </w:p>
    <w:p w:rsidR="00B7650A" w:rsidRPr="00044CFC" w:rsidRDefault="00B7650A" w:rsidP="00B7650A">
      <w:pPr>
        <w:pStyle w:val="BLMText"/>
        <w:rPr>
          <w:b/>
          <w:sz w:val="24"/>
          <w:szCs w:val="24"/>
        </w:rPr>
      </w:pPr>
      <w:r w:rsidRPr="00044CFC">
        <w:rPr>
          <w:b/>
          <w:sz w:val="24"/>
          <w:szCs w:val="24"/>
        </w:rPr>
        <w:t>Information Sheet</w:t>
      </w:r>
    </w:p>
    <w:p w:rsidR="00B7650A" w:rsidRPr="00B7650A" w:rsidRDefault="00B7650A" w:rsidP="00B7650A">
      <w:pPr>
        <w:jc w:val="center"/>
        <w:rPr>
          <w:rFonts w:ascii="Tahoma" w:hAnsi="Tahoma" w:cs="Tahoma"/>
          <w:b/>
        </w:rPr>
      </w:pPr>
      <w:bookmarkStart w:id="0" w:name="APP_A14"/>
      <w:r w:rsidRPr="00B7650A">
        <w:rPr>
          <w:rFonts w:ascii="Tahoma" w:hAnsi="Tahoma" w:cs="Tahoma"/>
          <w:b/>
          <w:lang w:val="en-AU"/>
        </w:rPr>
        <w:t xml:space="preserve">The Pyramid and the </w:t>
      </w:r>
      <w:r w:rsidRPr="00B7650A">
        <w:rPr>
          <w:rFonts w:ascii="Tahoma" w:hAnsi="Tahoma" w:cs="Tahoma"/>
          <w:b/>
        </w:rPr>
        <w:t>D</w:t>
      </w:r>
      <w:bookmarkEnd w:id="0"/>
      <w:r w:rsidRPr="00B7650A">
        <w:rPr>
          <w:rFonts w:ascii="Tahoma" w:hAnsi="Tahoma" w:cs="Tahoma"/>
          <w:b/>
        </w:rPr>
        <w:t>iamond</w:t>
      </w:r>
    </w:p>
    <w:p w:rsidR="00B7650A" w:rsidRDefault="00B7650A" w:rsidP="00B7650A">
      <w:pPr>
        <w:pStyle w:val="Title"/>
        <w:rPr>
          <w:sz w:val="24"/>
          <w:lang w:val="en-AU"/>
        </w:rPr>
      </w:pPr>
    </w:p>
    <w:p w:rsidR="00B7650A" w:rsidRDefault="000E536C" w:rsidP="00B7650A">
      <w:pPr>
        <w:jc w:val="center"/>
        <w:rPr>
          <w:rFonts w:ascii="Arial" w:hAnsi="Arial"/>
          <w:lang w:val="en-AU"/>
        </w:rPr>
      </w:pPr>
      <w:r w:rsidRPr="000E536C">
        <w:rPr>
          <w:rFonts w:ascii="Arial" w:hAnsi="Arial"/>
          <w:lang w:val="en-AU"/>
        </w:rPr>
        <w:pict>
          <v:rect id="_x0000_s1053" style="position:absolute;left:0;text-align:left;margin-left:4.05pt;margin-top:8.6pt;width:495pt;height:31.25pt;z-index:251657728;v-text-anchor:bottom" filled="f" fillcolor="#00e4a8" stroked="f">
            <v:shadow color="#1c1c1c"/>
            <v:textbox>
              <w:txbxContent>
                <w:p w:rsidR="00B7650A" w:rsidRPr="006936D7" w:rsidRDefault="00B7650A" w:rsidP="00B7650A">
                  <w:pPr>
                    <w:autoSpaceDE w:val="0"/>
                    <w:autoSpaceDN w:val="0"/>
                    <w:adjustRightInd w:val="0"/>
                    <w:rPr>
                      <w:rFonts w:ascii="Tahoma" w:hAnsi="Tahoma" w:cs="Tahoma"/>
                    </w:rPr>
                  </w:pPr>
                  <w:r>
                    <w:rPr>
                      <w:rFonts w:ascii="Tahoma" w:hAnsi="Tahoma" w:cs="Tahoma"/>
                      <w:b/>
                      <w:color w:val="000000"/>
                    </w:rPr>
                    <w:t xml:space="preserve">           </w:t>
                  </w:r>
                  <w:r w:rsidRPr="006936D7">
                    <w:rPr>
                      <w:rFonts w:ascii="Tahoma" w:hAnsi="Tahoma" w:cs="Tahoma"/>
                      <w:b/>
                      <w:color w:val="000000"/>
                    </w:rPr>
                    <w:t xml:space="preserve">Traditional Pyramid                          </w:t>
                  </w:r>
                  <w:r>
                    <w:rPr>
                      <w:rFonts w:ascii="Tahoma" w:hAnsi="Tahoma" w:cs="Tahoma"/>
                      <w:b/>
                      <w:color w:val="000000"/>
                    </w:rPr>
                    <w:tab/>
                  </w:r>
                  <w:r>
                    <w:rPr>
                      <w:rFonts w:ascii="Tahoma" w:hAnsi="Tahoma" w:cs="Tahoma"/>
                      <w:b/>
                      <w:color w:val="000000"/>
                    </w:rPr>
                    <w:tab/>
                  </w:r>
                  <w:r w:rsidRPr="006936D7">
                    <w:rPr>
                      <w:rFonts w:ascii="Tahoma" w:hAnsi="Tahoma" w:cs="Tahoma"/>
                      <w:b/>
                      <w:color w:val="000000"/>
                    </w:rPr>
                    <w:t>Emerging Diamond</w:t>
                  </w:r>
                  <w:r w:rsidRPr="006936D7">
                    <w:rPr>
                      <w:rFonts w:ascii="Tahoma" w:hAnsi="Tahoma" w:cs="Tahoma"/>
                      <w:b/>
                      <w:color w:val="000000"/>
                    </w:rPr>
                    <w:br/>
                  </w:r>
                  <w:r w:rsidRPr="006936D7">
                    <w:rPr>
                      <w:rFonts w:ascii="Tahoma" w:hAnsi="Tahoma" w:cs="Tahoma"/>
                    </w:rPr>
                    <w:br/>
                  </w:r>
                </w:p>
              </w:txbxContent>
            </v:textbox>
          </v:rect>
        </w:pict>
      </w:r>
    </w:p>
    <w:p w:rsidR="00B7650A" w:rsidRDefault="00B7650A" w:rsidP="00B7650A">
      <w:pPr>
        <w:pStyle w:val="Caption"/>
        <w:rPr>
          <w:rFonts w:ascii="Arial" w:hAnsi="Arial"/>
          <w:lang w:val="en-AU"/>
        </w:rPr>
      </w:pPr>
    </w:p>
    <w:p w:rsidR="00B7650A" w:rsidRDefault="00B7650A" w:rsidP="00B7650A">
      <w:pPr>
        <w:jc w:val="center"/>
        <w:rPr>
          <w:rFonts w:ascii="Arial" w:hAnsi="Arial"/>
          <w:b/>
          <w:lang w:val="en-AU"/>
        </w:rPr>
      </w:pPr>
    </w:p>
    <w:p w:rsidR="00B7650A" w:rsidRDefault="00B7650A" w:rsidP="00B7650A">
      <w:pPr>
        <w:jc w:val="center"/>
        <w:rPr>
          <w:rFonts w:ascii="Arial" w:hAnsi="Arial"/>
          <w:lang w:val="en-AU"/>
        </w:rPr>
      </w:pPr>
    </w:p>
    <w:p w:rsidR="00B7650A" w:rsidRDefault="00375C73" w:rsidP="00B7650A">
      <w:pPr>
        <w:ind w:left="-900"/>
        <w:rPr>
          <w:rFonts w:ascii="Arial" w:hAnsi="Arial"/>
          <w:lang w:val="en-AU"/>
        </w:rPr>
      </w:pPr>
      <w:r>
        <w:rPr>
          <w:rFonts w:ascii="Arial" w:hAnsi="Arial"/>
          <w:noProof/>
          <w:lang w:val="en-CA" w:eastAsia="en-CA"/>
        </w:rPr>
        <w:drawing>
          <wp:anchor distT="0" distB="0" distL="114300" distR="114300" simplePos="0" relativeHeight="251656704" behindDoc="0" locked="0" layoutInCell="1" allowOverlap="1">
            <wp:simplePos x="0" y="0"/>
            <wp:positionH relativeFrom="column">
              <wp:posOffset>4166235</wp:posOffset>
            </wp:positionH>
            <wp:positionV relativeFrom="paragraph">
              <wp:posOffset>65405</wp:posOffset>
            </wp:positionV>
            <wp:extent cx="914400" cy="914400"/>
            <wp:effectExtent l="19050" t="0" r="0" b="0"/>
            <wp:wrapNone/>
            <wp:docPr id="28" name="Picture 28" descr="al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one-s"/>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pic:spPr>
                </pic:pic>
              </a:graphicData>
            </a:graphic>
          </wp:anchor>
        </w:drawing>
      </w:r>
      <w:r>
        <w:rPr>
          <w:rFonts w:ascii="Arial" w:hAnsi="Arial"/>
          <w:noProof/>
          <w:lang w:val="en-CA" w:eastAsia="en-CA"/>
        </w:rPr>
        <w:drawing>
          <wp:anchor distT="0" distB="0" distL="114300" distR="114300" simplePos="0" relativeHeight="251655680" behindDoc="0" locked="0" layoutInCell="1" allowOverlap="1">
            <wp:simplePos x="0" y="0"/>
            <wp:positionH relativeFrom="column">
              <wp:posOffset>670560</wp:posOffset>
            </wp:positionH>
            <wp:positionV relativeFrom="paragraph">
              <wp:posOffset>65405</wp:posOffset>
            </wp:positionV>
            <wp:extent cx="1666875" cy="892175"/>
            <wp:effectExtent l="19050" t="0" r="9525" b="0"/>
            <wp:wrapNone/>
            <wp:docPr id="27" name="Picture 27" descr="alo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one-p"/>
                    <pic:cNvPicPr>
                      <a:picLocks noChangeAspect="1" noChangeArrowheads="1"/>
                    </pic:cNvPicPr>
                  </pic:nvPicPr>
                  <pic:blipFill>
                    <a:blip r:embed="rId12" cstate="print"/>
                    <a:srcRect/>
                    <a:stretch>
                      <a:fillRect/>
                    </a:stretch>
                  </pic:blipFill>
                  <pic:spPr bwMode="auto">
                    <a:xfrm>
                      <a:off x="0" y="0"/>
                      <a:ext cx="1666875" cy="892175"/>
                    </a:xfrm>
                    <a:prstGeom prst="rect">
                      <a:avLst/>
                    </a:prstGeom>
                    <a:noFill/>
                  </pic:spPr>
                </pic:pic>
              </a:graphicData>
            </a:graphic>
          </wp:anchor>
        </w:drawing>
      </w:r>
    </w:p>
    <w:p w:rsidR="00B7650A" w:rsidRDefault="00B7650A" w:rsidP="00B7650A">
      <w:pPr>
        <w:jc w:val="center"/>
        <w:rPr>
          <w:rFonts w:ascii="Arial" w:hAnsi="Arial"/>
          <w:lang w:val="en-AU"/>
        </w:rPr>
      </w:pPr>
      <w:r>
        <w:rPr>
          <w:rFonts w:ascii="Arial" w:hAnsi="Arial"/>
          <w:lang w:val="en-AU"/>
        </w:rPr>
        <w:t xml:space="preserve"> </w:t>
      </w:r>
    </w:p>
    <w:p w:rsidR="00B7650A" w:rsidRDefault="00B7650A" w:rsidP="00B7650A">
      <w:pPr>
        <w:pStyle w:val="Header"/>
        <w:tabs>
          <w:tab w:val="clear" w:pos="4320"/>
          <w:tab w:val="clear" w:pos="8640"/>
        </w:tabs>
        <w:rPr>
          <w:rFonts w:ascii="Arial" w:hAnsi="Arial"/>
          <w:lang w:val="en-AU"/>
        </w:rPr>
      </w:pPr>
    </w:p>
    <w:p w:rsidR="00B7650A" w:rsidRPr="00AD4858" w:rsidRDefault="00B7650A" w:rsidP="00B7650A">
      <w:pPr>
        <w:rPr>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0E536C" w:rsidP="00F54173">
      <w:pPr>
        <w:pStyle w:val="BLMText"/>
        <w:rPr>
          <w:b/>
          <w:sz w:val="24"/>
          <w:szCs w:val="24"/>
          <w:lang w:val="en-AU"/>
        </w:rPr>
      </w:pPr>
      <w:r w:rsidRPr="000E536C">
        <w:rPr>
          <w:b/>
          <w:noProof/>
          <w:sz w:val="24"/>
          <w:szCs w:val="24"/>
        </w:rPr>
        <w:pict>
          <v:rect id="_x0000_s1054" style="position:absolute;left:0;text-align:left;margin-left:9pt;margin-top:12.6pt;width:207.35pt;height:353.45pt;z-index:251658752" filled="f" fillcolor="#00e4a8" stroked="f">
            <v:shadow color="#1c1c1c"/>
            <v:textbox>
              <w:txbxContent>
                <w:p w:rsidR="00B7650A" w:rsidRDefault="00B7650A" w:rsidP="00B7650A">
                  <w:pPr>
                    <w:autoSpaceDE w:val="0"/>
                    <w:autoSpaceDN w:val="0"/>
                    <w:adjustRightInd w:val="0"/>
                    <w:ind w:left="540" w:hanging="540"/>
                    <w:rPr>
                      <w:rFonts w:ascii="Arial" w:hAnsi="Arial"/>
                      <w:color w:val="000000"/>
                      <w:sz w:val="26"/>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l</w:t>
                  </w:r>
                  <w:r w:rsidRPr="006936D7">
                    <w:rPr>
                      <w:rFonts w:ascii="Tahoma" w:hAnsi="Tahoma" w:cs="Tahoma"/>
                      <w:color w:val="000000"/>
                      <w:sz w:val="22"/>
                      <w:szCs w:val="22"/>
                      <w:lang w:val="en-AU"/>
                    </w:rPr>
                    <w:t>ots of opportunities to enter at the bottom; lots of possibilities to stay there too</w:t>
                  </w: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m</w:t>
                  </w:r>
                  <w:r w:rsidRPr="006936D7">
                    <w:rPr>
                      <w:rFonts w:ascii="Tahoma" w:hAnsi="Tahoma" w:cs="Tahoma"/>
                      <w:color w:val="000000"/>
                      <w:sz w:val="22"/>
                      <w:szCs w:val="22"/>
                      <w:lang w:val="en-AU"/>
                    </w:rPr>
                    <w:t>ore people at the bottom, less at the top</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o</w:t>
                  </w:r>
                  <w:r w:rsidRPr="006936D7">
                    <w:rPr>
                      <w:rFonts w:ascii="Tahoma" w:hAnsi="Tahoma" w:cs="Tahoma"/>
                      <w:color w:val="000000"/>
                      <w:sz w:val="22"/>
                      <w:szCs w:val="22"/>
                      <w:lang w:val="en-AU"/>
                    </w:rPr>
                    <w:t>pportunities are mostly hierarchical</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k</w:t>
                  </w:r>
                  <w:r w:rsidRPr="006936D7">
                    <w:rPr>
                      <w:rFonts w:ascii="Tahoma" w:hAnsi="Tahoma" w:cs="Tahoma"/>
                      <w:color w:val="000000"/>
                      <w:sz w:val="22"/>
                      <w:szCs w:val="22"/>
                      <w:lang w:val="en-AU"/>
                    </w:rPr>
                    <w:t>nowledge and decision making are mostly in the top triangle—opportunity for the patient and loyal ones</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skill requirements are clear</w:t>
                  </w:r>
                  <w:r w:rsidRPr="006936D7">
                    <w:rPr>
                      <w:rFonts w:ascii="Tahoma" w:hAnsi="Tahoma" w:cs="Tahoma"/>
                      <w:color w:val="000000"/>
                      <w:sz w:val="22"/>
                      <w:szCs w:val="22"/>
                      <w:lang w:val="en-AU"/>
                    </w:rPr>
                    <w:t xml:space="preserve">—specialists abound </w:t>
                  </w: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onsiderable differentiation between “blue collar” labourers and “white collar” professionals</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focus is on o</w:t>
                  </w:r>
                  <w:r w:rsidRPr="006936D7">
                    <w:rPr>
                      <w:rFonts w:ascii="Tahoma" w:hAnsi="Tahoma" w:cs="Tahoma"/>
                      <w:color w:val="000000"/>
                      <w:sz w:val="22"/>
                      <w:szCs w:val="22"/>
                      <w:lang w:val="en-AU"/>
                    </w:rPr>
                    <w:t>ccupations/</w:t>
                  </w:r>
                  <w:r>
                    <w:rPr>
                      <w:rFonts w:ascii="Tahoma" w:hAnsi="Tahoma" w:cs="Tahoma"/>
                      <w:color w:val="000000"/>
                      <w:sz w:val="22"/>
                      <w:szCs w:val="22"/>
                      <w:lang w:val="en-AU"/>
                    </w:rPr>
                    <w:t>j</w:t>
                  </w:r>
                  <w:r w:rsidRPr="006936D7">
                    <w:rPr>
                      <w:rFonts w:ascii="Tahoma" w:hAnsi="Tahoma" w:cs="Tahoma"/>
                      <w:color w:val="000000"/>
                      <w:sz w:val="22"/>
                      <w:szCs w:val="22"/>
                      <w:lang w:val="en-AU"/>
                    </w:rPr>
                    <w:t>ob titles</w:t>
                  </w:r>
                </w:p>
              </w:txbxContent>
            </v:textbox>
          </v:rect>
        </w:pict>
      </w:r>
    </w:p>
    <w:p w:rsidR="00B7650A" w:rsidRDefault="000E536C" w:rsidP="00F54173">
      <w:pPr>
        <w:pStyle w:val="BLMText"/>
        <w:rPr>
          <w:b/>
          <w:sz w:val="24"/>
          <w:szCs w:val="24"/>
          <w:lang w:val="en-AU"/>
        </w:rPr>
      </w:pPr>
      <w:r w:rsidRPr="000E536C">
        <w:rPr>
          <w:b/>
          <w:noProof/>
          <w:sz w:val="24"/>
          <w:szCs w:val="24"/>
        </w:rPr>
        <w:pict>
          <v:rect id="_x0000_s1055" style="position:absolute;left:0;text-align:left;margin-left:261pt;margin-top:13.1pt;width:3in;height:362.45pt;z-index:251659776" filled="f" fillcolor="#00e4a8" stroked="f">
            <v:shadow color="#1c1c1c"/>
            <v:textbox>
              <w:txbxContent>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onstricted base means limited opportunity for low skill/ inexperienced—assumption of basic skills</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m</w:t>
                  </w:r>
                  <w:r w:rsidRPr="006936D7">
                    <w:rPr>
                      <w:rFonts w:ascii="Tahoma" w:hAnsi="Tahoma" w:cs="Tahoma"/>
                      <w:color w:val="000000"/>
                      <w:sz w:val="22"/>
                      <w:szCs w:val="22"/>
                      <w:lang w:val="en-AU"/>
                    </w:rPr>
                    <w:t>ore people in the middle, less at the bottom and top</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o</w:t>
                  </w:r>
                  <w:r w:rsidRPr="006936D7">
                    <w:rPr>
                      <w:rFonts w:ascii="Tahoma" w:hAnsi="Tahoma" w:cs="Tahoma"/>
                      <w:color w:val="000000"/>
                      <w:sz w:val="22"/>
                      <w:szCs w:val="22"/>
                      <w:lang w:val="en-AU"/>
                    </w:rPr>
                    <w:t>pportunities are mostly lateral</w:t>
                  </w: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k</w:t>
                  </w:r>
                  <w:r w:rsidRPr="006936D7">
                    <w:rPr>
                      <w:rFonts w:ascii="Tahoma" w:hAnsi="Tahoma" w:cs="Tahoma"/>
                      <w:color w:val="000000"/>
                      <w:sz w:val="22"/>
                      <w:szCs w:val="22"/>
                      <w:lang w:val="en-AU"/>
                    </w:rPr>
                    <w:t>nowledge and decision making are mostly in the big square—lots of opportunity for self-starters and risk</w:t>
                  </w:r>
                  <w:r>
                    <w:rPr>
                      <w:rFonts w:ascii="Tahoma" w:hAnsi="Tahoma" w:cs="Tahoma"/>
                      <w:color w:val="000000"/>
                      <w:sz w:val="22"/>
                      <w:szCs w:val="22"/>
                      <w:lang w:val="en-AU"/>
                    </w:rPr>
                    <w:t xml:space="preserve"> </w:t>
                  </w:r>
                  <w:r w:rsidRPr="006936D7">
                    <w:rPr>
                      <w:rFonts w:ascii="Tahoma" w:hAnsi="Tahoma" w:cs="Tahoma"/>
                      <w:color w:val="000000"/>
                      <w:sz w:val="22"/>
                      <w:szCs w:val="22"/>
                      <w:lang w:val="en-AU"/>
                    </w:rPr>
                    <w:t>takers</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t</w:t>
                  </w:r>
                  <w:r w:rsidRPr="006936D7">
                    <w:rPr>
                      <w:rFonts w:ascii="Tahoma" w:hAnsi="Tahoma" w:cs="Tahoma"/>
                      <w:color w:val="000000"/>
                      <w:sz w:val="22"/>
                      <w:szCs w:val="22"/>
                      <w:lang w:val="en-AU"/>
                    </w:rPr>
                    <w:t>ransferable skills become necessary—generalists who are transferable/mobile and with ongoing learning skills and attitudes will mostly succeed</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rumbling differentiation— “aqua collar” workers are emerging as tasks expand and distinctions blur</w:t>
                  </w: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f</w:t>
                  </w:r>
                  <w:r w:rsidRPr="006936D7">
                    <w:rPr>
                      <w:rFonts w:ascii="Tahoma" w:hAnsi="Tahoma" w:cs="Tahoma"/>
                      <w:color w:val="000000"/>
                      <w:sz w:val="22"/>
                      <w:szCs w:val="22"/>
                      <w:lang w:val="en-AU"/>
                    </w:rPr>
                    <w:t>ocu</w:t>
                  </w:r>
                  <w:r>
                    <w:rPr>
                      <w:rFonts w:ascii="Tahoma" w:hAnsi="Tahoma" w:cs="Tahoma"/>
                      <w:color w:val="000000"/>
                      <w:sz w:val="22"/>
                      <w:szCs w:val="22"/>
                      <w:lang w:val="en-AU"/>
                    </w:rPr>
                    <w:t>s is on skills and s</w:t>
                  </w:r>
                  <w:r w:rsidRPr="006936D7">
                    <w:rPr>
                      <w:rFonts w:ascii="Tahoma" w:hAnsi="Tahoma" w:cs="Tahoma"/>
                      <w:color w:val="000000"/>
                      <w:sz w:val="22"/>
                      <w:szCs w:val="22"/>
                      <w:lang w:val="en-AU"/>
                    </w:rPr>
                    <w:t>ectors</w:t>
                  </w:r>
                </w:p>
              </w:txbxContent>
            </v:textbox>
          </v:rect>
        </w:pict>
      </w: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31C8" w:rsidRDefault="00B731C8">
      <w:pPr>
        <w:rPr>
          <w:sz w:val="16"/>
          <w:szCs w:val="16"/>
          <w:lang w:val="en-AU"/>
        </w:rPr>
        <w:sectPr w:rsidR="00B731C8" w:rsidSect="00E12B2E">
          <w:headerReference w:type="default" r:id="rId13"/>
          <w:pgSz w:w="12240" w:h="15840" w:code="1"/>
          <w:pgMar w:top="1440" w:right="1440" w:bottom="1080" w:left="1440" w:header="720" w:footer="720" w:gutter="0"/>
          <w:cols w:space="720"/>
          <w:docGrid w:linePitch="360"/>
        </w:sectPr>
      </w:pPr>
    </w:p>
    <w:p w:rsidR="002133B5" w:rsidRDefault="002133B5" w:rsidP="002133B5">
      <w:pPr>
        <w:rPr>
          <w:sz w:val="16"/>
          <w:szCs w:val="16"/>
          <w:lang w:val="en-AU"/>
        </w:rPr>
      </w:pPr>
    </w:p>
    <w:p w:rsidR="00F41C65" w:rsidRDefault="00F41C65" w:rsidP="002133B5">
      <w:pPr>
        <w:rPr>
          <w:sz w:val="16"/>
          <w:szCs w:val="16"/>
          <w:lang w:val="en-AU"/>
        </w:rPr>
      </w:pPr>
    </w:p>
    <w:tbl>
      <w:tblPr>
        <w:tblStyle w:val="TableGrid"/>
        <w:tblW w:w="0" w:type="auto"/>
        <w:tblInd w:w="108" w:type="dxa"/>
        <w:tblLook w:val="01E0"/>
      </w:tblPr>
      <w:tblGrid>
        <w:gridCol w:w="3060"/>
        <w:gridCol w:w="6300"/>
      </w:tblGrid>
      <w:tr w:rsidR="00F41C65" w:rsidTr="000E2559">
        <w:trPr>
          <w:trHeight w:val="648"/>
        </w:trPr>
        <w:tc>
          <w:tcPr>
            <w:tcW w:w="9360" w:type="dxa"/>
            <w:gridSpan w:val="2"/>
            <w:shd w:val="clear" w:color="auto" w:fill="E0E0E0"/>
            <w:vAlign w:val="center"/>
          </w:tcPr>
          <w:p w:rsidR="00F41C65" w:rsidRPr="00EB1E87" w:rsidRDefault="00F41C65" w:rsidP="00EB1E87">
            <w:pPr>
              <w:jc w:val="center"/>
              <w:rPr>
                <w:rFonts w:ascii="Tahoma" w:hAnsi="Tahoma" w:cs="Tahoma"/>
                <w:b/>
                <w:lang w:val="en-AU"/>
              </w:rPr>
            </w:pPr>
            <w:r w:rsidRPr="00EB1E87">
              <w:rPr>
                <w:rFonts w:ascii="Tahoma" w:hAnsi="Tahoma" w:cs="Tahoma"/>
                <w:b/>
                <w:lang w:val="en-AU"/>
              </w:rPr>
              <w:t>“The Evolving World of Work” Notes</w:t>
            </w:r>
          </w:p>
        </w:tc>
      </w:tr>
      <w:tr w:rsidR="00F41C65" w:rsidTr="000E2559">
        <w:trPr>
          <w:trHeight w:val="1368"/>
        </w:trPr>
        <w:tc>
          <w:tcPr>
            <w:tcW w:w="3060" w:type="dxa"/>
          </w:tcPr>
          <w:p w:rsidR="00F41C65" w:rsidRPr="00EB1E87" w:rsidRDefault="00F41C65" w:rsidP="00B731C8">
            <w:pPr>
              <w:spacing w:before="120"/>
              <w:rPr>
                <w:rFonts w:ascii="Tahoma" w:hAnsi="Tahoma" w:cs="Tahoma"/>
                <w:sz w:val="22"/>
                <w:szCs w:val="22"/>
                <w:lang w:val="en-AU"/>
              </w:rPr>
            </w:pPr>
            <w:r w:rsidRPr="00EB1E87">
              <w:rPr>
                <w:rFonts w:ascii="Tahoma" w:hAnsi="Tahoma" w:cs="Tahoma"/>
                <w:sz w:val="22"/>
                <w:szCs w:val="22"/>
                <w:lang w:val="en-AU"/>
              </w:rPr>
              <w:t xml:space="preserve">Factors </w:t>
            </w:r>
            <w:r w:rsidR="00B731C8">
              <w:rPr>
                <w:rFonts w:ascii="Tahoma" w:hAnsi="Tahoma" w:cs="Tahoma"/>
                <w:sz w:val="22"/>
                <w:szCs w:val="22"/>
                <w:lang w:val="en-AU"/>
              </w:rPr>
              <w:t>T</w:t>
            </w:r>
            <w:r w:rsidRPr="00EB1E87">
              <w:rPr>
                <w:rFonts w:ascii="Tahoma" w:hAnsi="Tahoma" w:cs="Tahoma"/>
                <w:sz w:val="22"/>
                <w:szCs w:val="22"/>
                <w:lang w:val="en-AU"/>
              </w:rPr>
              <w:t>hat Affect the Number and Type of Occupations Available</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1368"/>
        </w:trPr>
        <w:tc>
          <w:tcPr>
            <w:tcW w:w="3060" w:type="dxa"/>
          </w:tcPr>
          <w:p w:rsidR="00F41C65" w:rsidRPr="00EB1E87" w:rsidRDefault="00F41C65" w:rsidP="00EB1E87">
            <w:pPr>
              <w:spacing w:before="120"/>
              <w:rPr>
                <w:rFonts w:ascii="Tahoma" w:hAnsi="Tahoma" w:cs="Tahoma"/>
                <w:sz w:val="22"/>
                <w:szCs w:val="22"/>
                <w:lang w:val="en-AU"/>
              </w:rPr>
            </w:pPr>
            <w:r w:rsidRPr="00EB1E87">
              <w:rPr>
                <w:rFonts w:ascii="Tahoma" w:hAnsi="Tahoma" w:cs="Tahoma"/>
                <w:sz w:val="22"/>
                <w:szCs w:val="22"/>
                <w:lang w:val="en-AU"/>
              </w:rPr>
              <w:t>Trends in the Global Economy</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1368"/>
        </w:trPr>
        <w:tc>
          <w:tcPr>
            <w:tcW w:w="3060" w:type="dxa"/>
          </w:tcPr>
          <w:p w:rsidR="00F41C65" w:rsidRPr="00EB1E87" w:rsidRDefault="00F41C65" w:rsidP="00B731C8">
            <w:pPr>
              <w:spacing w:before="120"/>
              <w:rPr>
                <w:rFonts w:ascii="Tahoma" w:hAnsi="Tahoma" w:cs="Tahoma"/>
                <w:sz w:val="22"/>
                <w:szCs w:val="22"/>
                <w:lang w:val="en-AU"/>
              </w:rPr>
            </w:pPr>
            <w:r w:rsidRPr="00EB1E87">
              <w:rPr>
                <w:rFonts w:ascii="Tahoma" w:hAnsi="Tahoma" w:cs="Tahoma"/>
                <w:sz w:val="22"/>
                <w:szCs w:val="22"/>
                <w:lang w:val="en-AU"/>
              </w:rPr>
              <w:t xml:space="preserve">Occupational Areas </w:t>
            </w:r>
            <w:r w:rsidR="00B731C8">
              <w:rPr>
                <w:rFonts w:ascii="Tahoma" w:hAnsi="Tahoma" w:cs="Tahoma"/>
                <w:sz w:val="22"/>
                <w:szCs w:val="22"/>
                <w:lang w:val="en-AU"/>
              </w:rPr>
              <w:t>W</w:t>
            </w:r>
            <w:r w:rsidR="00B147B4">
              <w:rPr>
                <w:rFonts w:ascii="Tahoma" w:hAnsi="Tahoma" w:cs="Tahoma"/>
                <w:sz w:val="22"/>
                <w:szCs w:val="22"/>
                <w:lang w:val="en-AU"/>
              </w:rPr>
              <w:t>here Demand I</w:t>
            </w:r>
            <w:r w:rsidRPr="00EB1E87">
              <w:rPr>
                <w:rFonts w:ascii="Tahoma" w:hAnsi="Tahoma" w:cs="Tahoma"/>
                <w:sz w:val="22"/>
                <w:szCs w:val="22"/>
                <w:lang w:val="en-AU"/>
              </w:rPr>
              <w:t>s Expected to be High in Canada</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1368"/>
        </w:trPr>
        <w:tc>
          <w:tcPr>
            <w:tcW w:w="3060" w:type="dxa"/>
          </w:tcPr>
          <w:p w:rsidR="00F41C65" w:rsidRPr="00EB1E87" w:rsidRDefault="00F41C65" w:rsidP="00EB1E87">
            <w:pPr>
              <w:spacing w:before="120"/>
              <w:rPr>
                <w:rFonts w:ascii="Tahoma" w:hAnsi="Tahoma" w:cs="Tahoma"/>
                <w:sz w:val="22"/>
                <w:szCs w:val="22"/>
                <w:lang w:val="en-AU"/>
              </w:rPr>
            </w:pPr>
            <w:r w:rsidRPr="00EB1E87">
              <w:rPr>
                <w:rFonts w:ascii="Tahoma" w:hAnsi="Tahoma" w:cs="Tahoma"/>
                <w:sz w:val="22"/>
                <w:szCs w:val="22"/>
                <w:lang w:val="en-AU"/>
              </w:rPr>
              <w:t>Tools Youth Need to Advance Careers</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1368"/>
        </w:trPr>
        <w:tc>
          <w:tcPr>
            <w:tcW w:w="3060" w:type="dxa"/>
          </w:tcPr>
          <w:p w:rsidR="00F41C65" w:rsidRPr="00EB1E87" w:rsidRDefault="00F41C65" w:rsidP="00EB1E87">
            <w:pPr>
              <w:spacing w:before="120"/>
              <w:rPr>
                <w:rFonts w:ascii="Tahoma" w:hAnsi="Tahoma" w:cs="Tahoma"/>
                <w:sz w:val="22"/>
                <w:szCs w:val="22"/>
                <w:lang w:val="en-AU"/>
              </w:rPr>
            </w:pPr>
            <w:r w:rsidRPr="00EB1E87">
              <w:rPr>
                <w:rFonts w:ascii="Tahoma" w:hAnsi="Tahoma" w:cs="Tahoma"/>
                <w:sz w:val="22"/>
                <w:szCs w:val="22"/>
                <w:lang w:val="en-AU"/>
              </w:rPr>
              <w:t>Characteristics of a Quality Job</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1368"/>
        </w:trPr>
        <w:tc>
          <w:tcPr>
            <w:tcW w:w="3060" w:type="dxa"/>
          </w:tcPr>
          <w:p w:rsidR="00F41C65" w:rsidRPr="00EB1E87" w:rsidRDefault="00F41C65" w:rsidP="00B731C8">
            <w:pPr>
              <w:spacing w:before="120"/>
              <w:rPr>
                <w:rFonts w:ascii="Tahoma" w:hAnsi="Tahoma" w:cs="Tahoma"/>
                <w:sz w:val="22"/>
                <w:szCs w:val="22"/>
                <w:lang w:val="en-AU"/>
              </w:rPr>
            </w:pPr>
            <w:r w:rsidRPr="00EB1E87">
              <w:rPr>
                <w:rFonts w:ascii="Tahoma" w:hAnsi="Tahoma" w:cs="Tahoma"/>
                <w:sz w:val="22"/>
                <w:szCs w:val="22"/>
                <w:lang w:val="en-AU"/>
              </w:rPr>
              <w:t xml:space="preserve">Trends </w:t>
            </w:r>
            <w:r w:rsidR="00B731C8">
              <w:rPr>
                <w:rFonts w:ascii="Tahoma" w:hAnsi="Tahoma" w:cs="Tahoma"/>
                <w:sz w:val="22"/>
                <w:szCs w:val="22"/>
                <w:lang w:val="en-AU"/>
              </w:rPr>
              <w:t>T</w:t>
            </w:r>
            <w:r w:rsidRPr="00EB1E87">
              <w:rPr>
                <w:rFonts w:ascii="Tahoma" w:hAnsi="Tahoma" w:cs="Tahoma"/>
                <w:sz w:val="22"/>
                <w:szCs w:val="22"/>
                <w:lang w:val="en-AU"/>
              </w:rPr>
              <w:t xml:space="preserve">hat </w:t>
            </w:r>
            <w:r w:rsidR="00B731C8">
              <w:rPr>
                <w:rFonts w:ascii="Tahoma" w:hAnsi="Tahoma" w:cs="Tahoma"/>
                <w:sz w:val="22"/>
                <w:szCs w:val="22"/>
                <w:lang w:val="en-AU"/>
              </w:rPr>
              <w:t>W</w:t>
            </w:r>
            <w:r w:rsidRPr="00EB1E87">
              <w:rPr>
                <w:rFonts w:ascii="Tahoma" w:hAnsi="Tahoma" w:cs="Tahoma"/>
                <w:sz w:val="22"/>
                <w:szCs w:val="22"/>
                <w:lang w:val="en-AU"/>
              </w:rPr>
              <w:t>ill Benefit Youth in Near Future</w:t>
            </w:r>
          </w:p>
        </w:tc>
        <w:tc>
          <w:tcPr>
            <w:tcW w:w="6300" w:type="dxa"/>
          </w:tcPr>
          <w:p w:rsidR="00F41C65" w:rsidRPr="00EB1E87" w:rsidRDefault="00F41C65" w:rsidP="00EB1E87">
            <w:pPr>
              <w:spacing w:before="120"/>
              <w:rPr>
                <w:rFonts w:ascii="Tahoma" w:hAnsi="Tahoma" w:cs="Tahoma"/>
                <w:sz w:val="22"/>
                <w:szCs w:val="22"/>
                <w:lang w:val="en-AU"/>
              </w:rPr>
            </w:pPr>
          </w:p>
        </w:tc>
      </w:tr>
      <w:tr w:rsidR="00F41C65" w:rsidTr="000E2559">
        <w:trPr>
          <w:trHeight w:val="3122"/>
        </w:trPr>
        <w:tc>
          <w:tcPr>
            <w:tcW w:w="9360" w:type="dxa"/>
            <w:gridSpan w:val="2"/>
          </w:tcPr>
          <w:p w:rsidR="00F41C65" w:rsidRPr="00EB1E87" w:rsidRDefault="00F41C65" w:rsidP="00EB1E87">
            <w:pPr>
              <w:spacing w:before="120"/>
              <w:rPr>
                <w:rFonts w:ascii="Tahoma" w:hAnsi="Tahoma" w:cs="Tahoma"/>
                <w:sz w:val="22"/>
                <w:szCs w:val="22"/>
                <w:lang w:val="en-AU"/>
              </w:rPr>
            </w:pPr>
            <w:r w:rsidRPr="00EB1E87">
              <w:rPr>
                <w:rFonts w:ascii="Tahoma" w:hAnsi="Tahoma" w:cs="Tahoma"/>
                <w:b/>
                <w:sz w:val="22"/>
                <w:szCs w:val="22"/>
                <w:lang w:val="en-AU"/>
              </w:rPr>
              <w:t>Reflection:</w:t>
            </w:r>
            <w:r w:rsidRPr="00EB1E87">
              <w:rPr>
                <w:rFonts w:ascii="Tahoma" w:hAnsi="Tahoma" w:cs="Tahoma"/>
                <w:sz w:val="22"/>
                <w:szCs w:val="22"/>
                <w:lang w:val="en-AU"/>
              </w:rPr>
              <w:t xml:space="preserve"> How do you think the various factors and trends will affect the way you learn and develop in response to the changing world of work?</w:t>
            </w:r>
          </w:p>
        </w:tc>
      </w:tr>
    </w:tbl>
    <w:p w:rsidR="00F41C65" w:rsidRPr="002133B5" w:rsidRDefault="00F41C65" w:rsidP="002133B5">
      <w:pPr>
        <w:rPr>
          <w:sz w:val="16"/>
          <w:szCs w:val="16"/>
          <w:lang w:val="en-AU"/>
        </w:rPr>
      </w:pPr>
    </w:p>
    <w:sectPr w:rsidR="00F41C65" w:rsidRPr="002133B5" w:rsidSect="00E12B2E">
      <w:headerReference w:type="default" r:id="rId14"/>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39" w:rsidRDefault="007D3539">
      <w:r>
        <w:separator/>
      </w:r>
    </w:p>
  </w:endnote>
  <w:endnote w:type="continuationSeparator" w:id="0">
    <w:p w:rsidR="007D3539" w:rsidRDefault="007D3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00005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39" w:rsidRDefault="007D3539">
      <w:r>
        <w:separator/>
      </w:r>
    </w:p>
  </w:footnote>
  <w:footnote w:type="continuationSeparator" w:id="0">
    <w:p w:rsidR="007D3539" w:rsidRDefault="007D3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4F7CD5">
      <w:rPr>
        <w:b/>
      </w:rPr>
      <w:t>11</w:t>
    </w:r>
  </w:p>
  <w:p w:rsidR="002F6F8E" w:rsidRPr="00291ACF" w:rsidRDefault="002F6F8E" w:rsidP="002F6F8E">
    <w:pPr>
      <w:pStyle w:val="BLMslo"/>
      <w:framePr w:wrap="around"/>
    </w:pPr>
    <w:r>
      <w:t>(</w:t>
    </w:r>
    <w:r w:rsidR="00F41C65">
      <w:t>2.E.3</w:t>
    </w:r>
    <w:r>
      <w:t>)</w:t>
    </w:r>
  </w:p>
  <w:p w:rsidR="004A0EC2" w:rsidRPr="00E81E46" w:rsidRDefault="000E536C" w:rsidP="00AB764B">
    <w:pPr>
      <w:pStyle w:val="BLMTitle"/>
    </w:pPr>
    <w:r w:rsidRPr="000E536C">
      <w:rPr>
        <w:noProof/>
      </w:rPr>
      <w:pict>
        <v:line id="_x0000_s2057" style="position:absolute;left:0;text-align:left;z-index:251655680" from="63pt,18pt" to="468pt,18pt" strokeweight=".5pt">
          <w10:wrap side="left"/>
        </v:line>
      </w:pict>
    </w:r>
    <w:r w:rsidR="00E12B2E">
      <w:br/>
    </w:r>
    <w:r w:rsidR="00744954">
      <w:t>The Evolving World of Work</w:t>
    </w:r>
    <w:r w:rsidR="00483624">
      <w:t xml:space="preserve"> (1)</w:t>
    </w:r>
    <w:r w:rsidR="00E12B2E">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Pr>
        <w:b/>
      </w:rPr>
      <w:t>11</w:t>
    </w:r>
  </w:p>
  <w:p w:rsidR="00017BC3" w:rsidRPr="00291ACF" w:rsidRDefault="00017BC3" w:rsidP="002F6F8E">
    <w:pPr>
      <w:pStyle w:val="BLMslo"/>
      <w:framePr w:wrap="around"/>
    </w:pPr>
    <w:r>
      <w:t>(2.E.</w:t>
    </w:r>
    <w:r w:rsidR="00F41C65">
      <w:t>3</w:t>
    </w:r>
    <w:r>
      <w:t>)</w:t>
    </w:r>
  </w:p>
  <w:p w:rsidR="00017BC3" w:rsidRPr="00E81E46" w:rsidRDefault="000E536C" w:rsidP="00AB764B">
    <w:pPr>
      <w:pStyle w:val="BLMTitle"/>
    </w:pPr>
    <w:r w:rsidRPr="000E536C">
      <w:rPr>
        <w:noProof/>
      </w:rPr>
      <w:pict>
        <v:line id="_x0000_s2065" style="position:absolute;left:0;text-align:left;z-index:251657728" from="63pt,18pt" to="468pt,18pt" strokeweight=".5pt">
          <w10:wrap side="left"/>
        </v:line>
      </w:pict>
    </w:r>
    <w:r w:rsidR="00017BC3">
      <w:br/>
      <w:t>The Evolving World of Work</w:t>
    </w:r>
    <w:r w:rsidR="00483624">
      <w:t xml:space="preserve"> (2)</w:t>
    </w:r>
    <w:r w:rsidR="00017BC3">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Pr>
        <w:b/>
      </w:rPr>
      <w:t>11</w:t>
    </w:r>
  </w:p>
  <w:p w:rsidR="00017BC3" w:rsidRPr="00291ACF" w:rsidRDefault="00F41C65" w:rsidP="002F6F8E">
    <w:pPr>
      <w:pStyle w:val="BLMslo"/>
      <w:framePr w:wrap="around"/>
    </w:pPr>
    <w:r>
      <w:t>(2.E.3</w:t>
    </w:r>
    <w:r w:rsidR="00017BC3">
      <w:t>)</w:t>
    </w:r>
  </w:p>
  <w:p w:rsidR="00017BC3" w:rsidRPr="00E81E46" w:rsidRDefault="000E536C" w:rsidP="00AB764B">
    <w:pPr>
      <w:pStyle w:val="BLMTitle"/>
    </w:pPr>
    <w:r w:rsidRPr="000E536C">
      <w:rPr>
        <w:noProof/>
      </w:rPr>
      <w:pict>
        <v:line id="_x0000_s2066" style="position:absolute;left:0;text-align:left;z-index:251658752" from="63pt,18pt" to="468pt,18pt" strokeweight=".5pt">
          <w10:wrap side="left"/>
        </v:line>
      </w:pict>
    </w:r>
    <w:r w:rsidR="00017BC3">
      <w:br/>
      <w:t>The Evolving World of Work</w:t>
    </w:r>
    <w:r w:rsidR="00483624">
      <w:t xml:space="preserve"> (3)</w:t>
    </w:r>
    <w:r w:rsidR="00017BC3">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Pr>
        <w:b/>
      </w:rPr>
      <w:t>11</w:t>
    </w:r>
  </w:p>
  <w:p w:rsidR="00017BC3" w:rsidRPr="00291ACF" w:rsidRDefault="00F41C65" w:rsidP="002F6F8E">
    <w:pPr>
      <w:pStyle w:val="BLMslo"/>
      <w:framePr w:wrap="around"/>
    </w:pPr>
    <w:r>
      <w:t>(2.E.3</w:t>
    </w:r>
    <w:r w:rsidR="00017BC3">
      <w:t>)</w:t>
    </w:r>
  </w:p>
  <w:p w:rsidR="00017BC3" w:rsidRPr="00E81E46" w:rsidRDefault="000E536C" w:rsidP="00AB764B">
    <w:pPr>
      <w:pStyle w:val="BLMTitle"/>
    </w:pPr>
    <w:r w:rsidRPr="000E536C">
      <w:rPr>
        <w:noProof/>
      </w:rPr>
      <w:pict>
        <v:line id="_x0000_s2067" style="position:absolute;left:0;text-align:left;z-index:251659776" from="63pt,18pt" to="468pt,18pt" strokeweight=".5pt">
          <w10:wrap side="left"/>
        </v:line>
      </w:pict>
    </w:r>
    <w:r w:rsidR="00017BC3">
      <w:br/>
      <w:t>The Evolving World of Work</w:t>
    </w:r>
    <w:r w:rsidR="00483624">
      <w:t xml:space="preserve"> (4)</w:t>
    </w:r>
    <w:r w:rsidR="00017BC3">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Pr>
        <w:b/>
      </w:rPr>
      <w:t>11</w:t>
    </w:r>
  </w:p>
  <w:p w:rsidR="00017BC3" w:rsidRPr="00291ACF" w:rsidRDefault="00F41C65" w:rsidP="002F6F8E">
    <w:pPr>
      <w:pStyle w:val="BLMslo"/>
      <w:framePr w:wrap="around"/>
    </w:pPr>
    <w:r>
      <w:t>(2.E.3</w:t>
    </w:r>
    <w:r w:rsidR="00017BC3">
      <w:t>)</w:t>
    </w:r>
  </w:p>
  <w:p w:rsidR="00017BC3" w:rsidRPr="00E81E46" w:rsidRDefault="000E536C" w:rsidP="00AB764B">
    <w:pPr>
      <w:pStyle w:val="BLMTitle"/>
    </w:pPr>
    <w:r w:rsidRPr="000E536C">
      <w:rPr>
        <w:noProof/>
      </w:rPr>
      <w:pict>
        <v:line id="_x0000_s2064" style="position:absolute;left:0;text-align:left;z-index:251656704" from="63pt,18pt" to="468pt,18pt" strokeweight=".5pt">
          <w10:wrap side="left"/>
        </v:line>
      </w:pict>
    </w:r>
    <w:r w:rsidR="00017BC3">
      <w:br/>
      <w:t>The Evolving World of Work</w:t>
    </w:r>
    <w:r w:rsidR="00483624">
      <w:t xml:space="preserve"> (</w:t>
    </w:r>
    <w:r w:rsidR="00B731C8">
      <w:t>5</w:t>
    </w:r>
    <w:r w:rsidR="00483624">
      <w:t>)</w:t>
    </w:r>
    <w:r w:rsidR="00017BC3">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C8" w:rsidRDefault="00B731C8" w:rsidP="00C85EA6">
    <w:pPr>
      <w:framePr w:w="1051" w:h="721" w:hRule="exact" w:hSpace="180" w:wrap="around" w:vAnchor="text" w:hAnchor="page" w:x="1441" w:y="181"/>
      <w:shd w:val="clear" w:color="auto" w:fill="E0E0E0"/>
      <w:jc w:val="center"/>
      <w:rPr>
        <w:rFonts w:ascii="Tahoma" w:hAnsi="Tahoma" w:cs="Tahoma"/>
        <w:sz w:val="20"/>
        <w:szCs w:val="20"/>
      </w:rPr>
    </w:pPr>
  </w:p>
  <w:p w:rsidR="00B731C8" w:rsidRDefault="00B731C8" w:rsidP="00C85EA6">
    <w:pPr>
      <w:pStyle w:val="SLO"/>
      <w:framePr w:h="901" w:hRule="exact" w:wrap="around"/>
    </w:pPr>
  </w:p>
  <w:p w:rsidR="00B731C8" w:rsidRPr="00847A3C" w:rsidRDefault="00B731C8" w:rsidP="002F6F8E">
    <w:pPr>
      <w:pStyle w:val="SLO"/>
      <w:framePr w:wrap="around"/>
      <w:rPr>
        <w:b/>
      </w:rPr>
    </w:pPr>
    <w:r w:rsidRPr="002F6F8E">
      <w:rPr>
        <w:b/>
        <w:sz w:val="12"/>
        <w:szCs w:val="12"/>
      </w:rPr>
      <w:br/>
    </w:r>
    <w:r w:rsidRPr="00847A3C">
      <w:rPr>
        <w:b/>
      </w:rPr>
      <w:t xml:space="preserve">BLM </w:t>
    </w:r>
    <w:r>
      <w:rPr>
        <w:b/>
      </w:rPr>
      <w:t>11</w:t>
    </w:r>
  </w:p>
  <w:p w:rsidR="00B731C8" w:rsidRPr="00291ACF" w:rsidRDefault="00B731C8" w:rsidP="002F6F8E">
    <w:pPr>
      <w:pStyle w:val="BLMslo"/>
      <w:framePr w:wrap="around"/>
    </w:pPr>
    <w:r>
      <w:t>(2.E.3)</w:t>
    </w:r>
  </w:p>
  <w:p w:rsidR="00B731C8" w:rsidRPr="00E81E46" w:rsidRDefault="000E536C" w:rsidP="00AB764B">
    <w:pPr>
      <w:pStyle w:val="BLMTitle"/>
    </w:pPr>
    <w:r w:rsidRPr="000E536C">
      <w:rPr>
        <w:noProof/>
      </w:rPr>
      <w:pict>
        <v:line id="_x0000_s2068" style="position:absolute;left:0;text-align:left;z-index:251661824" from="63pt,18pt" to="468pt,18pt" strokeweight=".5pt">
          <w10:wrap side="left"/>
        </v:line>
      </w:pict>
    </w:r>
    <w:r w:rsidR="00B731C8">
      <w:br/>
      <w:t>The Evolving World of Work (6)</w:t>
    </w:r>
    <w:r w:rsidR="00B731C8">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00"/>
    <w:lvl w:ilvl="0">
      <w:start w:val="1"/>
      <w:numFmt w:val="decimal"/>
      <w:pStyle w:val="Level1"/>
      <w:lvlText w:val="%1."/>
      <w:lvlJc w:val="left"/>
      <w:pPr>
        <w:tabs>
          <w:tab w:val="num" w:pos="900"/>
        </w:tabs>
        <w:ind w:left="900" w:hanging="45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B11C08"/>
    <w:multiLevelType w:val="hybridMultilevel"/>
    <w:tmpl w:val="2DF8C81C"/>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C30AC810">
      <w:start w:val="11"/>
      <w:numFmt w:val="bullet"/>
      <w:lvlText w:val="—"/>
      <w:lvlJc w:val="left"/>
      <w:pPr>
        <w:tabs>
          <w:tab w:val="num" w:pos="3161"/>
        </w:tabs>
        <w:ind w:left="3600" w:hanging="360"/>
      </w:pPr>
      <w:rPr>
        <w:rFonts w:ascii="Times New Roman" w:hAnsi="Times New Roman" w:cs="Times New Roman" w:hint="default"/>
        <w:sz w:val="22"/>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D350CC"/>
    <w:multiLevelType w:val="multilevel"/>
    <w:tmpl w:val="7B8E8CE0"/>
    <w:lvl w:ilvl="0">
      <w:start w:val="1"/>
      <w:numFmt w:val="bullet"/>
      <w:lvlText w:val=""/>
      <w:lvlJc w:val="left"/>
      <w:pPr>
        <w:tabs>
          <w:tab w:val="num" w:pos="36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6F050D"/>
    <w:multiLevelType w:val="hybridMultilevel"/>
    <w:tmpl w:val="4258B458"/>
    <w:lvl w:ilvl="0" w:tplc="702EF230">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617515"/>
    <w:multiLevelType w:val="hybridMultilevel"/>
    <w:tmpl w:val="EA24FFA2"/>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D492CA9"/>
    <w:multiLevelType w:val="hybridMultilevel"/>
    <w:tmpl w:val="F7AC2A10"/>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6640D0E">
      <w:start w:val="11"/>
      <w:numFmt w:val="bullet"/>
      <w:lvlText w:val=""/>
      <w:lvlJc w:val="left"/>
      <w:pPr>
        <w:tabs>
          <w:tab w:val="num" w:pos="3161"/>
        </w:tabs>
        <w:ind w:left="3600" w:hanging="360"/>
      </w:pPr>
      <w:rPr>
        <w:rFonts w:ascii="Wingdings" w:hAnsi="Wingdings" w:cs="Times New Roman" w:hint="default"/>
        <w:sz w:val="22"/>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7D5831"/>
    <w:multiLevelType w:val="multilevel"/>
    <w:tmpl w:val="2DF8C81C"/>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1"/>
      <w:numFmt w:val="bullet"/>
      <w:lvlText w:val="—"/>
      <w:lvlJc w:val="left"/>
      <w:pPr>
        <w:tabs>
          <w:tab w:val="num" w:pos="3161"/>
        </w:tabs>
        <w:ind w:left="3600" w:hanging="360"/>
      </w:pPr>
      <w:rPr>
        <w:rFonts w:ascii="Times New Roman" w:hAnsi="Times New Roman" w:cs="Times New Roman" w:hint="default"/>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506CD"/>
    <w:multiLevelType w:val="multilevel"/>
    <w:tmpl w:val="315031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A4656C8"/>
    <w:multiLevelType w:val="multilevel"/>
    <w:tmpl w:val="315031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B5744C5"/>
    <w:multiLevelType w:val="hybridMultilevel"/>
    <w:tmpl w:val="E976FB6A"/>
    <w:lvl w:ilvl="0" w:tplc="10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B4969D2"/>
    <w:multiLevelType w:val="hybridMultilevel"/>
    <w:tmpl w:val="B63EDEB6"/>
    <w:lvl w:ilvl="0" w:tplc="10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FDA1973"/>
    <w:multiLevelType w:val="multilevel"/>
    <w:tmpl w:val="EA24FFA2"/>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60358DE"/>
    <w:multiLevelType w:val="hybridMultilevel"/>
    <w:tmpl w:val="FEE67068"/>
    <w:lvl w:ilvl="0" w:tplc="702EF230">
      <w:start w:val="1"/>
      <w:numFmt w:val="bullet"/>
      <w:lvlText w:val=""/>
      <w:lvlJc w:val="left"/>
      <w:pPr>
        <w:tabs>
          <w:tab w:val="num" w:pos="360"/>
        </w:tabs>
        <w:ind w:left="340" w:hanging="340"/>
      </w:pPr>
      <w:rPr>
        <w:rFonts w:ascii="Wingdings" w:hAnsi="Wingdings" w:hint="default"/>
        <w:sz w:val="20"/>
      </w:rPr>
    </w:lvl>
    <w:lvl w:ilvl="1" w:tplc="7ABAD08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88137B"/>
    <w:multiLevelType w:val="multilevel"/>
    <w:tmpl w:val="FE70BB96"/>
    <w:lvl w:ilvl="0">
      <w:start w:val="1"/>
      <w:numFmt w:val="bullet"/>
      <w:lvlText w:val=""/>
      <w:lvlJc w:val="left"/>
      <w:pPr>
        <w:tabs>
          <w:tab w:val="num" w:pos="360"/>
        </w:tabs>
        <w:ind w:left="340"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0B21C60"/>
    <w:multiLevelType w:val="hybridMultilevel"/>
    <w:tmpl w:val="7B8E8CE0"/>
    <w:lvl w:ilvl="0" w:tplc="26B2084E">
      <w:start w:val="1"/>
      <w:numFmt w:val="bullet"/>
      <w:lvlText w:val=""/>
      <w:lvlJc w:val="left"/>
      <w:pPr>
        <w:tabs>
          <w:tab w:val="num" w:pos="360"/>
        </w:tabs>
        <w:ind w:left="340"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5E5D0C"/>
    <w:multiLevelType w:val="hybridMultilevel"/>
    <w:tmpl w:val="CA40888E"/>
    <w:lvl w:ilvl="0" w:tplc="3A0429B2">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D260AC"/>
    <w:multiLevelType w:val="multilevel"/>
    <w:tmpl w:val="EA543A98"/>
    <w:lvl w:ilvl="0">
      <w:start w:val="1"/>
      <w:numFmt w:val="bullet"/>
      <w:lvlText w:val=""/>
      <w:lvlJc w:val="left"/>
      <w:pPr>
        <w:tabs>
          <w:tab w:val="num" w:pos="360"/>
        </w:tabs>
        <w:ind w:left="340"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A37F2F"/>
    <w:multiLevelType w:val="multilevel"/>
    <w:tmpl w:val="EA24FFA2"/>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DF04A0"/>
    <w:multiLevelType w:val="multilevel"/>
    <w:tmpl w:val="315031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4"/>
  </w:num>
  <w:num w:numId="4">
    <w:abstractNumId w:val="7"/>
  </w:num>
  <w:num w:numId="5">
    <w:abstractNumId w:val="8"/>
  </w:num>
  <w:num w:numId="6">
    <w:abstractNumId w:val="14"/>
  </w:num>
  <w:num w:numId="7">
    <w:abstractNumId w:val="2"/>
  </w:num>
  <w:num w:numId="8">
    <w:abstractNumId w:val="15"/>
  </w:num>
  <w:num w:numId="9">
    <w:abstractNumId w:val="17"/>
  </w:num>
  <w:num w:numId="10">
    <w:abstractNumId w:val="13"/>
  </w:num>
  <w:num w:numId="11">
    <w:abstractNumId w:val="3"/>
  </w:num>
  <w:num w:numId="12">
    <w:abstractNumId w:val="11"/>
  </w:num>
  <w:num w:numId="13">
    <w:abstractNumId w:val="1"/>
  </w:num>
  <w:num w:numId="14">
    <w:abstractNumId w:val="6"/>
  </w:num>
  <w:num w:numId="15">
    <w:abstractNumId w:val="5"/>
  </w:num>
  <w:num w:numId="16">
    <w:abstractNumId w:val="16"/>
  </w:num>
  <w:num w:numId="17">
    <w:abstractNumId w:val="12"/>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53"/>
    <w:rsid w:val="00017BC3"/>
    <w:rsid w:val="00032654"/>
    <w:rsid w:val="00035FEA"/>
    <w:rsid w:val="0003659C"/>
    <w:rsid w:val="000372ED"/>
    <w:rsid w:val="00044CFC"/>
    <w:rsid w:val="00052283"/>
    <w:rsid w:val="00052CAE"/>
    <w:rsid w:val="00056161"/>
    <w:rsid w:val="00060081"/>
    <w:rsid w:val="00060619"/>
    <w:rsid w:val="00060C89"/>
    <w:rsid w:val="00073B17"/>
    <w:rsid w:val="00073B36"/>
    <w:rsid w:val="00077D85"/>
    <w:rsid w:val="00082BC6"/>
    <w:rsid w:val="000832F9"/>
    <w:rsid w:val="000849FA"/>
    <w:rsid w:val="000924E8"/>
    <w:rsid w:val="00096D10"/>
    <w:rsid w:val="000A28EF"/>
    <w:rsid w:val="000A41DE"/>
    <w:rsid w:val="000C6877"/>
    <w:rsid w:val="000D0236"/>
    <w:rsid w:val="000E1E1A"/>
    <w:rsid w:val="000E2559"/>
    <w:rsid w:val="000E340B"/>
    <w:rsid w:val="000E536C"/>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1EC5"/>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3EB6"/>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33B5"/>
    <w:rsid w:val="0021472D"/>
    <w:rsid w:val="00217E1E"/>
    <w:rsid w:val="00225FD3"/>
    <w:rsid w:val="00254D46"/>
    <w:rsid w:val="002650C0"/>
    <w:rsid w:val="0027170D"/>
    <w:rsid w:val="00275FF5"/>
    <w:rsid w:val="002836B9"/>
    <w:rsid w:val="0028399A"/>
    <w:rsid w:val="00291ACF"/>
    <w:rsid w:val="00295E74"/>
    <w:rsid w:val="00297C81"/>
    <w:rsid w:val="002A0A39"/>
    <w:rsid w:val="002A3907"/>
    <w:rsid w:val="002A5ECC"/>
    <w:rsid w:val="002B1A16"/>
    <w:rsid w:val="002B1BC4"/>
    <w:rsid w:val="002C09A3"/>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508"/>
    <w:rsid w:val="00353BA3"/>
    <w:rsid w:val="0035769D"/>
    <w:rsid w:val="00361600"/>
    <w:rsid w:val="003631FC"/>
    <w:rsid w:val="003639BB"/>
    <w:rsid w:val="00366859"/>
    <w:rsid w:val="00367F63"/>
    <w:rsid w:val="00372993"/>
    <w:rsid w:val="00375C73"/>
    <w:rsid w:val="003765E5"/>
    <w:rsid w:val="0038270E"/>
    <w:rsid w:val="00390553"/>
    <w:rsid w:val="003A1D67"/>
    <w:rsid w:val="003A4010"/>
    <w:rsid w:val="003B405A"/>
    <w:rsid w:val="003C07F1"/>
    <w:rsid w:val="003C3804"/>
    <w:rsid w:val="003D06E7"/>
    <w:rsid w:val="003D10BF"/>
    <w:rsid w:val="003E0C09"/>
    <w:rsid w:val="003E6151"/>
    <w:rsid w:val="003F0019"/>
    <w:rsid w:val="003F0051"/>
    <w:rsid w:val="003F4EEC"/>
    <w:rsid w:val="0040111D"/>
    <w:rsid w:val="004157D4"/>
    <w:rsid w:val="00425B17"/>
    <w:rsid w:val="004357FB"/>
    <w:rsid w:val="0043697E"/>
    <w:rsid w:val="004453E9"/>
    <w:rsid w:val="004459C7"/>
    <w:rsid w:val="00447E77"/>
    <w:rsid w:val="004623A0"/>
    <w:rsid w:val="004647DA"/>
    <w:rsid w:val="004679F3"/>
    <w:rsid w:val="00470B6C"/>
    <w:rsid w:val="00471686"/>
    <w:rsid w:val="00472184"/>
    <w:rsid w:val="0047396C"/>
    <w:rsid w:val="00483624"/>
    <w:rsid w:val="00485975"/>
    <w:rsid w:val="0049222A"/>
    <w:rsid w:val="004A0EC2"/>
    <w:rsid w:val="004A2644"/>
    <w:rsid w:val="004A7A7D"/>
    <w:rsid w:val="004B693A"/>
    <w:rsid w:val="004C4F65"/>
    <w:rsid w:val="004C5A61"/>
    <w:rsid w:val="004D2C1D"/>
    <w:rsid w:val="004E1789"/>
    <w:rsid w:val="004E3A2D"/>
    <w:rsid w:val="004E4490"/>
    <w:rsid w:val="004F1C1D"/>
    <w:rsid w:val="004F7C7A"/>
    <w:rsid w:val="004F7CD5"/>
    <w:rsid w:val="00511F05"/>
    <w:rsid w:val="00512A37"/>
    <w:rsid w:val="0051753E"/>
    <w:rsid w:val="00520E5F"/>
    <w:rsid w:val="00522A34"/>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93111"/>
    <w:rsid w:val="005A1152"/>
    <w:rsid w:val="005A1291"/>
    <w:rsid w:val="005A182F"/>
    <w:rsid w:val="005A679D"/>
    <w:rsid w:val="005B5928"/>
    <w:rsid w:val="005B64F4"/>
    <w:rsid w:val="005C2536"/>
    <w:rsid w:val="005D6415"/>
    <w:rsid w:val="005D7DD8"/>
    <w:rsid w:val="005E43D0"/>
    <w:rsid w:val="005F6402"/>
    <w:rsid w:val="0060223A"/>
    <w:rsid w:val="00606C80"/>
    <w:rsid w:val="0060724C"/>
    <w:rsid w:val="00612F5E"/>
    <w:rsid w:val="00622D6D"/>
    <w:rsid w:val="00631CDE"/>
    <w:rsid w:val="00635906"/>
    <w:rsid w:val="00651029"/>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4954"/>
    <w:rsid w:val="00746EB9"/>
    <w:rsid w:val="007475BB"/>
    <w:rsid w:val="007514D3"/>
    <w:rsid w:val="00756193"/>
    <w:rsid w:val="00761C77"/>
    <w:rsid w:val="00765310"/>
    <w:rsid w:val="0076599C"/>
    <w:rsid w:val="00770BEA"/>
    <w:rsid w:val="00775821"/>
    <w:rsid w:val="007811BE"/>
    <w:rsid w:val="00783363"/>
    <w:rsid w:val="00784883"/>
    <w:rsid w:val="007861FB"/>
    <w:rsid w:val="0078621B"/>
    <w:rsid w:val="00791084"/>
    <w:rsid w:val="00793F10"/>
    <w:rsid w:val="007B7D5C"/>
    <w:rsid w:val="007C530D"/>
    <w:rsid w:val="007C7FF7"/>
    <w:rsid w:val="007D3539"/>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5F40"/>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A8"/>
    <w:rsid w:val="009A5844"/>
    <w:rsid w:val="009B4C41"/>
    <w:rsid w:val="009D6E5C"/>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556B2"/>
    <w:rsid w:val="00A609E3"/>
    <w:rsid w:val="00A61563"/>
    <w:rsid w:val="00A727E3"/>
    <w:rsid w:val="00A73788"/>
    <w:rsid w:val="00A73AEE"/>
    <w:rsid w:val="00A80351"/>
    <w:rsid w:val="00A809C1"/>
    <w:rsid w:val="00A859F2"/>
    <w:rsid w:val="00A8669A"/>
    <w:rsid w:val="00A86DEF"/>
    <w:rsid w:val="00A968D0"/>
    <w:rsid w:val="00A97C1E"/>
    <w:rsid w:val="00AA125A"/>
    <w:rsid w:val="00AA2D5E"/>
    <w:rsid w:val="00AA51AA"/>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47B4"/>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31C8"/>
    <w:rsid w:val="00B75955"/>
    <w:rsid w:val="00B7650A"/>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079D0"/>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57A5C"/>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06F51"/>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3EE1"/>
    <w:rsid w:val="00D65068"/>
    <w:rsid w:val="00D67E67"/>
    <w:rsid w:val="00D94421"/>
    <w:rsid w:val="00DA43ED"/>
    <w:rsid w:val="00DA6A76"/>
    <w:rsid w:val="00DC078E"/>
    <w:rsid w:val="00DC39FA"/>
    <w:rsid w:val="00DC4538"/>
    <w:rsid w:val="00DC4AD0"/>
    <w:rsid w:val="00DD2242"/>
    <w:rsid w:val="00DD4B78"/>
    <w:rsid w:val="00DE19E6"/>
    <w:rsid w:val="00DE6415"/>
    <w:rsid w:val="00DF2B6C"/>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290A"/>
    <w:rsid w:val="00EA15D4"/>
    <w:rsid w:val="00EA5E8B"/>
    <w:rsid w:val="00EA6E7D"/>
    <w:rsid w:val="00EB1CF9"/>
    <w:rsid w:val="00EB1E87"/>
    <w:rsid w:val="00EB53B8"/>
    <w:rsid w:val="00EB7668"/>
    <w:rsid w:val="00EC7019"/>
    <w:rsid w:val="00EC72CE"/>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24FEB"/>
    <w:rsid w:val="00F41C65"/>
    <w:rsid w:val="00F41E0C"/>
    <w:rsid w:val="00F45585"/>
    <w:rsid w:val="00F47CDD"/>
    <w:rsid w:val="00F50A60"/>
    <w:rsid w:val="00F5195F"/>
    <w:rsid w:val="00F54173"/>
    <w:rsid w:val="00F56B42"/>
    <w:rsid w:val="00F60308"/>
    <w:rsid w:val="00F67972"/>
    <w:rsid w:val="00F70E0F"/>
    <w:rsid w:val="00F718EA"/>
    <w:rsid w:val="00F71C5C"/>
    <w:rsid w:val="00F7666D"/>
    <w:rsid w:val="00F76CAF"/>
    <w:rsid w:val="00F80830"/>
    <w:rsid w:val="00F81963"/>
    <w:rsid w:val="00F82FB2"/>
    <w:rsid w:val="00F97562"/>
    <w:rsid w:val="00FB1305"/>
    <w:rsid w:val="00FB2736"/>
    <w:rsid w:val="00FB5A21"/>
    <w:rsid w:val="00FC2D50"/>
    <w:rsid w:val="00FC326E"/>
    <w:rsid w:val="00FD200F"/>
    <w:rsid w:val="00FD2F9E"/>
    <w:rsid w:val="00FD4FB7"/>
    <w:rsid w:val="00FE15C0"/>
    <w:rsid w:val="00FE3B0D"/>
    <w:rsid w:val="00FE6113"/>
    <w:rsid w:val="00FE71CA"/>
    <w:rsid w:val="00FF49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111"/>
    <w:rPr>
      <w:sz w:val="24"/>
      <w:szCs w:val="24"/>
      <w:lang w:val="en-US" w:eastAsia="en-US"/>
    </w:rPr>
  </w:style>
  <w:style w:type="paragraph" w:styleId="Heading1">
    <w:name w:val="heading 1"/>
    <w:basedOn w:val="Normal"/>
    <w:next w:val="Normal"/>
    <w:qFormat/>
    <w:rsid w:val="00472184"/>
    <w:pPr>
      <w:keepNext/>
      <w:outlineLvl w:val="0"/>
    </w:pPr>
    <w:rPr>
      <w:rFonts w:ascii="Arial" w:eastAsia="Times" w:hAnsi="Arial"/>
      <w:b/>
      <w:szCs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customStyle="1" w:styleId="Level6">
    <w:name w:val="Level 6"/>
    <w:basedOn w:val="Normal"/>
    <w:rsid w:val="00472184"/>
    <w:pPr>
      <w:widowControl w:val="0"/>
      <w:ind w:left="2520" w:hanging="360"/>
    </w:pPr>
    <w:rPr>
      <w:snapToGrid w:val="0"/>
      <w:szCs w:val="20"/>
    </w:rPr>
  </w:style>
  <w:style w:type="paragraph" w:customStyle="1" w:styleId="Level1">
    <w:name w:val="Level 1"/>
    <w:basedOn w:val="Normal"/>
    <w:rsid w:val="003C07F1"/>
    <w:pPr>
      <w:widowControl w:val="0"/>
      <w:numPr>
        <w:numId w:val="1"/>
      </w:numPr>
      <w:ind w:left="900" w:hanging="450"/>
      <w:outlineLvl w:val="0"/>
    </w:pPr>
    <w:rPr>
      <w:snapToGrid w:val="0"/>
      <w:szCs w:val="20"/>
    </w:rPr>
  </w:style>
  <w:style w:type="paragraph" w:customStyle="1" w:styleId="Level8">
    <w:name w:val="Level 8"/>
    <w:basedOn w:val="Normal"/>
    <w:rsid w:val="003C07F1"/>
    <w:pPr>
      <w:widowControl w:val="0"/>
      <w:ind w:left="3240" w:hanging="360"/>
    </w:pPr>
    <w:rPr>
      <w:snapToGrid w:val="0"/>
      <w:szCs w:val="20"/>
    </w:rPr>
  </w:style>
  <w:style w:type="table" w:styleId="TableGrid">
    <w:name w:val="Table Grid"/>
    <w:basedOn w:val="TableNormal"/>
    <w:rsid w:val="00DA6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B7650A"/>
    <w:pPr>
      <w:jc w:val="center"/>
    </w:pPr>
    <w:rPr>
      <w:rFonts w:ascii="Arial" w:eastAsia="Times" w:hAnsi="Arial"/>
      <w:b/>
      <w:sz w:val="28"/>
      <w:szCs w:val="20"/>
    </w:rPr>
  </w:style>
  <w:style w:type="paragraph" w:styleId="Caption">
    <w:name w:val="caption"/>
    <w:basedOn w:val="Normal"/>
    <w:next w:val="Normal"/>
    <w:qFormat/>
    <w:rsid w:val="00B7650A"/>
    <w:pPr>
      <w:widowControl w:val="0"/>
      <w:autoSpaceDE w:val="0"/>
      <w:autoSpaceDN w:val="0"/>
      <w:adjustRightInd w:val="0"/>
    </w:pPr>
    <w:rPr>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1671</Words>
  <Characters>8296</Characters>
  <Application>Microsoft Office Word</Application>
  <DocSecurity>0</DocSecurity>
  <Lines>592</Lines>
  <Paragraphs>355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4</cp:revision>
  <cp:lastPrinted>2009-03-10T19:34:00Z</cp:lastPrinted>
  <dcterms:created xsi:type="dcterms:W3CDTF">2016-12-16T18:11:00Z</dcterms:created>
  <dcterms:modified xsi:type="dcterms:W3CDTF">2017-03-09T13:44:00Z</dcterms:modified>
</cp:coreProperties>
</file>