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11308E" w:rsidRDefault="0011308E" w:rsidP="00C85EA6">
      <w:pPr>
        <w:pStyle w:val="Text"/>
      </w:pPr>
    </w:p>
    <w:p w:rsidR="005F3F9A" w:rsidRDefault="005F3F9A" w:rsidP="00C85EA6">
      <w:pPr>
        <w:pStyle w:val="Text"/>
      </w:pPr>
    </w:p>
    <w:p w:rsidR="009D0009" w:rsidRPr="005F3F9A" w:rsidRDefault="009D0009" w:rsidP="0036203E">
      <w:pPr>
        <w:pStyle w:val="BLMText2"/>
        <w:rPr>
          <w:sz w:val="22"/>
        </w:rPr>
      </w:pPr>
      <w:r w:rsidRPr="005F3F9A">
        <w:rPr>
          <w:sz w:val="22"/>
        </w:rPr>
        <w:t xml:space="preserve">Industry Training Partnerships defines essential skills for the workplace in </w:t>
      </w:r>
      <w:smartTag w:uri="urn:schemas-microsoft-com:office:smarttags" w:element="place">
        <w:smartTag w:uri="urn:schemas-microsoft-com:office:smarttags" w:element="State">
          <w:r w:rsidRPr="005F3F9A">
            <w:rPr>
              <w:sz w:val="22"/>
            </w:rPr>
            <w:t>Manitoba</w:t>
          </w:r>
        </w:smartTag>
      </w:smartTag>
      <w:r w:rsidRPr="005F3F9A">
        <w:rPr>
          <w:sz w:val="22"/>
        </w:rPr>
        <w:t xml:space="preserve"> as “the reading, writing,</w:t>
      </w:r>
      <w:r w:rsidRPr="001626CA">
        <w:rPr>
          <w:sz w:val="22"/>
          <w:lang w:val="en-CA"/>
        </w:rPr>
        <w:t xml:space="preserve"> numeracy</w:t>
      </w:r>
      <w:r w:rsidRPr="005F3F9A">
        <w:rPr>
          <w:sz w:val="22"/>
        </w:rPr>
        <w:t>, communication, teamwork, thinking, learning and computer skills required to successfully perform in the workplace and to maximize the use of other types of training.”</w:t>
      </w:r>
    </w:p>
    <w:p w:rsidR="00096E26" w:rsidRPr="00096E26" w:rsidRDefault="00096E26" w:rsidP="009D0009">
      <w:pPr>
        <w:pStyle w:val="BLMText"/>
        <w:jc w:val="left"/>
      </w:pPr>
    </w:p>
    <w:p w:rsidR="00FA133E" w:rsidRDefault="00FA133E" w:rsidP="00096E26"/>
    <w:p w:rsidR="00096E26" w:rsidRDefault="009E4035" w:rsidP="00096E26">
      <w:r w:rsidRPr="009E4035">
        <w:rPr>
          <w:noProof/>
        </w:rPr>
        <w:pict>
          <v:shapetype id="_x0000_t202" coordsize="21600,21600" o:spt="202" path="m,l,21600r21600,l21600,xe">
            <v:stroke joinstyle="miter"/>
            <v:path gradientshapeok="t" o:connecttype="rect"/>
          </v:shapetype>
          <v:shape id="_x0000_s1071" type="#_x0000_t202" style="position:absolute;margin-left:2pt;margin-top:8.4pt;width:450pt;height:268.9pt;z-index:251657728" strokeweight=".5pt">
            <v:textbox style="mso-next-textbox:#_x0000_s1071">
              <w:txbxContent>
                <w:p w:rsidR="0036203E" w:rsidRPr="005F3F9A" w:rsidRDefault="0036203E" w:rsidP="005F3F9A">
                  <w:pPr>
                    <w:pStyle w:val="BLMText2"/>
                    <w:spacing w:before="120" w:after="120"/>
                    <w:rPr>
                      <w:sz w:val="22"/>
                    </w:rPr>
                  </w:pPr>
                  <w:r w:rsidRPr="005F3F9A">
                    <w:rPr>
                      <w:sz w:val="22"/>
                    </w:rPr>
                    <w:t>Employees at all levels must be able to</w:t>
                  </w:r>
                </w:p>
                <w:p w:rsidR="0036203E" w:rsidRPr="005F3F9A" w:rsidRDefault="0036203E" w:rsidP="0011308E">
                  <w:pPr>
                    <w:pStyle w:val="BLMText2"/>
                    <w:numPr>
                      <w:ilvl w:val="0"/>
                      <w:numId w:val="3"/>
                    </w:numPr>
                    <w:spacing w:after="120"/>
                    <w:ind w:left="346" w:hanging="346"/>
                    <w:rPr>
                      <w:sz w:val="22"/>
                    </w:rPr>
                  </w:pPr>
                  <w:r w:rsidRPr="005F3F9A">
                    <w:rPr>
                      <w:sz w:val="22"/>
                    </w:rPr>
                    <w:t>read and understand a range of text from written work orders to online and print-based technical and policy documents</w:t>
                  </w:r>
                </w:p>
                <w:p w:rsidR="0036203E" w:rsidRPr="005F3F9A" w:rsidRDefault="0036203E" w:rsidP="0011308E">
                  <w:pPr>
                    <w:pStyle w:val="BLMText2"/>
                    <w:numPr>
                      <w:ilvl w:val="0"/>
                      <w:numId w:val="3"/>
                    </w:numPr>
                    <w:spacing w:after="120"/>
                    <w:ind w:left="346" w:hanging="346"/>
                    <w:rPr>
                      <w:sz w:val="22"/>
                    </w:rPr>
                  </w:pPr>
                  <w:r w:rsidRPr="005F3F9A">
                    <w:rPr>
                      <w:sz w:val="22"/>
                    </w:rPr>
                    <w:t>utilize complicated workplace documents including technical manuals, blueprints, and health and safety regulations</w:t>
                  </w:r>
                </w:p>
                <w:p w:rsidR="0036203E" w:rsidRPr="005F3F9A" w:rsidRDefault="0036203E" w:rsidP="0011308E">
                  <w:pPr>
                    <w:pStyle w:val="BLMText2"/>
                    <w:numPr>
                      <w:ilvl w:val="0"/>
                      <w:numId w:val="3"/>
                    </w:numPr>
                    <w:spacing w:after="120"/>
                    <w:ind w:left="346" w:hanging="346"/>
                    <w:rPr>
                      <w:sz w:val="22"/>
                    </w:rPr>
                  </w:pPr>
                  <w:r w:rsidRPr="005F3F9A">
                    <w:rPr>
                      <w:sz w:val="22"/>
                    </w:rPr>
                    <w:t>fill out and compose forms, work orders, and reports</w:t>
                  </w:r>
                </w:p>
                <w:p w:rsidR="0036203E" w:rsidRPr="005F3F9A" w:rsidRDefault="0036203E" w:rsidP="0011308E">
                  <w:pPr>
                    <w:pStyle w:val="BLMText2"/>
                    <w:numPr>
                      <w:ilvl w:val="0"/>
                      <w:numId w:val="3"/>
                    </w:numPr>
                    <w:spacing w:after="120"/>
                    <w:ind w:left="346" w:hanging="346"/>
                    <w:rPr>
                      <w:sz w:val="22"/>
                    </w:rPr>
                  </w:pPr>
                  <w:r w:rsidRPr="005F3F9A">
                    <w:rPr>
                      <w:sz w:val="22"/>
                    </w:rPr>
                    <w:t>clearly speak and carefully listen in one-on-one and group settings</w:t>
                  </w:r>
                </w:p>
                <w:p w:rsidR="0036203E" w:rsidRPr="005F3F9A" w:rsidRDefault="0036203E" w:rsidP="0011308E">
                  <w:pPr>
                    <w:pStyle w:val="BLMText2"/>
                    <w:numPr>
                      <w:ilvl w:val="0"/>
                      <w:numId w:val="3"/>
                    </w:numPr>
                    <w:spacing w:after="120"/>
                    <w:ind w:left="346" w:hanging="346"/>
                    <w:rPr>
                      <w:sz w:val="22"/>
                    </w:rPr>
                  </w:pPr>
                  <w:r w:rsidRPr="005F3F9A">
                    <w:rPr>
                      <w:sz w:val="22"/>
                    </w:rPr>
                    <w:t>know when and how to use numbers accurately whether measuring, converting imperial measurements to metric, or developing budgets and reports</w:t>
                  </w:r>
                </w:p>
                <w:p w:rsidR="0036203E" w:rsidRPr="005F3F9A" w:rsidRDefault="0036203E" w:rsidP="0011308E">
                  <w:pPr>
                    <w:pStyle w:val="BLMText2"/>
                    <w:numPr>
                      <w:ilvl w:val="0"/>
                      <w:numId w:val="3"/>
                    </w:numPr>
                    <w:spacing w:after="120"/>
                    <w:ind w:left="346" w:hanging="346"/>
                    <w:rPr>
                      <w:sz w:val="22"/>
                    </w:rPr>
                  </w:pPr>
                  <w:r w:rsidRPr="005F3F9A">
                    <w:rPr>
                      <w:sz w:val="22"/>
                    </w:rPr>
                    <w:t>navigate through print and online sources to find information specific to a task</w:t>
                  </w:r>
                </w:p>
                <w:p w:rsidR="0036203E" w:rsidRPr="005F3F9A" w:rsidRDefault="0036203E" w:rsidP="0011308E">
                  <w:pPr>
                    <w:pStyle w:val="BLMText2"/>
                    <w:numPr>
                      <w:ilvl w:val="0"/>
                      <w:numId w:val="3"/>
                    </w:numPr>
                    <w:spacing w:after="120"/>
                    <w:ind w:left="346" w:hanging="346"/>
                    <w:rPr>
                      <w:sz w:val="22"/>
                    </w:rPr>
                  </w:pPr>
                  <w:r w:rsidRPr="005F3F9A">
                    <w:rPr>
                      <w:sz w:val="22"/>
                    </w:rPr>
                    <w:t>think through workplace problems and challenges</w:t>
                  </w:r>
                </w:p>
                <w:p w:rsidR="0036203E" w:rsidRPr="005F3F9A" w:rsidRDefault="0036203E" w:rsidP="0011308E">
                  <w:pPr>
                    <w:pStyle w:val="BLMText2"/>
                    <w:numPr>
                      <w:ilvl w:val="0"/>
                      <w:numId w:val="3"/>
                    </w:numPr>
                    <w:spacing w:after="120"/>
                    <w:ind w:left="346" w:hanging="346"/>
                    <w:rPr>
                      <w:sz w:val="22"/>
                    </w:rPr>
                  </w:pPr>
                  <w:r w:rsidRPr="005F3F9A">
                    <w:rPr>
                      <w:sz w:val="22"/>
                    </w:rPr>
                    <w:t>work as a team, whether on the plant floor or in company or union meetings</w:t>
                  </w:r>
                </w:p>
                <w:p w:rsidR="0036203E" w:rsidRPr="005F3F9A" w:rsidRDefault="0036203E" w:rsidP="0011308E">
                  <w:pPr>
                    <w:pStyle w:val="BLMText2"/>
                    <w:numPr>
                      <w:ilvl w:val="0"/>
                      <w:numId w:val="3"/>
                    </w:numPr>
                    <w:spacing w:after="120"/>
                    <w:ind w:left="346" w:hanging="346"/>
                    <w:rPr>
                      <w:sz w:val="22"/>
                    </w:rPr>
                  </w:pPr>
                  <w:r w:rsidRPr="005F3F9A">
                    <w:rPr>
                      <w:sz w:val="22"/>
                    </w:rPr>
                    <w:t>keep learning and adapting to changes such as introducing International Standards Organization (ISO) requirements, and new technology</w:t>
                  </w:r>
                </w:p>
              </w:txbxContent>
            </v:textbox>
          </v:shape>
        </w:pict>
      </w:r>
    </w:p>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FA133E" w:rsidRDefault="00FA133E" w:rsidP="00096E26"/>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5F3F9A" w:rsidRDefault="005F3F9A" w:rsidP="00FA133E">
      <w:pPr>
        <w:spacing w:before="240"/>
        <w:rPr>
          <w:rFonts w:ascii="Tahoma" w:hAnsi="Tahoma" w:cs="Tahoma"/>
          <w:sz w:val="16"/>
          <w:szCs w:val="16"/>
        </w:rPr>
      </w:pPr>
    </w:p>
    <w:p w:rsidR="005F3F9A" w:rsidRDefault="005F3F9A"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6741C8" w:rsidRDefault="006741C8"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11308E" w:rsidRDefault="0011308E" w:rsidP="00FA133E">
      <w:pPr>
        <w:spacing w:before="240"/>
        <w:rPr>
          <w:rFonts w:ascii="Tahoma" w:hAnsi="Tahoma" w:cs="Tahoma"/>
          <w:sz w:val="16"/>
          <w:szCs w:val="16"/>
        </w:rPr>
      </w:pPr>
    </w:p>
    <w:p w:rsidR="00FA133E" w:rsidRPr="00096E26" w:rsidRDefault="00FA133E" w:rsidP="0011308E">
      <w:pPr>
        <w:spacing w:before="240"/>
      </w:pPr>
      <w:r w:rsidRPr="00FA133E">
        <w:rPr>
          <w:rFonts w:ascii="Tahoma" w:hAnsi="Tahoma" w:cs="Tahoma"/>
          <w:sz w:val="16"/>
          <w:szCs w:val="16"/>
        </w:rPr>
        <w:t xml:space="preserve">Source: Industry Training Partnerships, </w:t>
      </w:r>
      <w:smartTag w:uri="urn:schemas-microsoft-com:office:smarttags" w:element="State">
        <w:smartTag w:uri="urn:schemas-microsoft-com:office:smarttags" w:element="place">
          <w:r w:rsidRPr="00FA133E">
            <w:rPr>
              <w:rFonts w:ascii="Tahoma" w:hAnsi="Tahoma" w:cs="Tahoma"/>
              <w:sz w:val="16"/>
              <w:szCs w:val="16"/>
            </w:rPr>
            <w:t>Manitoba</w:t>
          </w:r>
        </w:smartTag>
      </w:smartTag>
      <w:r w:rsidRPr="00FA133E">
        <w:rPr>
          <w:rFonts w:ascii="Tahoma" w:hAnsi="Tahoma" w:cs="Tahoma"/>
          <w:sz w:val="16"/>
          <w:szCs w:val="16"/>
        </w:rPr>
        <w:t xml:space="preserve"> Competitiveness, Training and Trade. </w:t>
      </w:r>
      <w:proofErr w:type="gramStart"/>
      <w:r w:rsidRPr="00FA133E">
        <w:rPr>
          <w:rFonts w:ascii="Tahoma" w:hAnsi="Tahoma" w:cs="Tahoma"/>
          <w:sz w:val="16"/>
          <w:szCs w:val="16"/>
        </w:rPr>
        <w:t>“Essential Skill</w:t>
      </w:r>
      <w:r w:rsidR="00524457">
        <w:rPr>
          <w:rFonts w:ascii="Tahoma" w:hAnsi="Tahoma" w:cs="Tahoma"/>
          <w:sz w:val="16"/>
          <w:szCs w:val="16"/>
        </w:rPr>
        <w:t>s—The Foundation for Success.”</w:t>
      </w:r>
      <w:r w:rsidR="00524457" w:rsidRPr="009B6632">
        <w:rPr>
          <w:rFonts w:ascii="Tahoma" w:hAnsi="Tahoma" w:cs="Tahoma"/>
          <w:sz w:val="16"/>
          <w:szCs w:val="16"/>
        </w:rPr>
        <w:t xml:space="preserve"> </w:t>
      </w:r>
      <w:r w:rsidRPr="009B6632">
        <w:rPr>
          <w:rFonts w:ascii="Tahoma" w:hAnsi="Tahoma" w:cs="Tahoma"/>
          <w:sz w:val="16"/>
          <w:szCs w:val="16"/>
        </w:rPr>
        <w:t>www.gov.mb.ca/tc</w:t>
      </w:r>
      <w:r w:rsidR="00524457" w:rsidRPr="009B6632">
        <w:rPr>
          <w:rFonts w:ascii="Tahoma" w:hAnsi="Tahoma" w:cs="Tahoma"/>
          <w:sz w:val="16"/>
          <w:szCs w:val="16"/>
        </w:rPr>
        <w:t>e/itp/fact_sheets/essential.pd</w:t>
      </w:r>
      <w:r w:rsidR="00524457" w:rsidRPr="000A79EE">
        <w:rPr>
          <w:rFonts w:ascii="Tahoma" w:hAnsi="Tahoma" w:cs="Tahoma"/>
          <w:color w:val="0000FF"/>
          <w:sz w:val="16"/>
          <w:szCs w:val="16"/>
        </w:rPr>
        <w:t>f</w:t>
      </w:r>
      <w:r w:rsidRPr="00FA133E">
        <w:rPr>
          <w:rFonts w:ascii="Tahoma" w:hAnsi="Tahoma" w:cs="Tahoma"/>
          <w:sz w:val="16"/>
          <w:szCs w:val="16"/>
        </w:rPr>
        <w:t xml:space="preserve"> (19 March 2007).</w:t>
      </w:r>
      <w:proofErr w:type="gramEnd"/>
    </w:p>
    <w:sectPr w:rsidR="00FA133E" w:rsidRPr="00096E26"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F7" w:rsidRDefault="008F53F7">
      <w:r>
        <w:separator/>
      </w:r>
    </w:p>
  </w:endnote>
  <w:endnote w:type="continuationSeparator" w:id="0">
    <w:p w:rsidR="008F53F7" w:rsidRDefault="008F53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F7" w:rsidRDefault="008F53F7">
      <w:r>
        <w:separator/>
      </w:r>
    </w:p>
  </w:footnote>
  <w:footnote w:type="continuationSeparator" w:id="0">
    <w:p w:rsidR="008F53F7" w:rsidRDefault="008F5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B11529">
      <w:rPr>
        <w:b/>
      </w:rPr>
      <w:t>2</w:t>
    </w:r>
    <w:r w:rsidR="00524457">
      <w:rPr>
        <w:b/>
      </w:rPr>
      <w:t>1</w:t>
    </w:r>
  </w:p>
  <w:p w:rsidR="002F6F8E" w:rsidRPr="00291ACF" w:rsidRDefault="002F6F8E" w:rsidP="002F6F8E">
    <w:pPr>
      <w:pStyle w:val="BLMslo"/>
      <w:framePr w:wrap="around"/>
    </w:pPr>
    <w:r>
      <w:t>(</w:t>
    </w:r>
    <w:r w:rsidR="00B11529">
      <w:t>4.K.3</w:t>
    </w:r>
    <w:r>
      <w:t>)</w:t>
    </w:r>
  </w:p>
  <w:p w:rsidR="004A0EC2" w:rsidRPr="00E81E46" w:rsidRDefault="009E4035" w:rsidP="00AB764B">
    <w:pPr>
      <w:pStyle w:val="BLMTitle"/>
    </w:pPr>
    <w:r w:rsidRPr="009E4035">
      <w:rPr>
        <w:noProof/>
      </w:rPr>
      <w:pict>
        <v:line id="_x0000_s2057" style="position:absolute;left:0;text-align:left;z-index:251657728" from="63pt,18pt" to="468pt,18pt" strokeweight=".5pt">
          <w10:wrap side="left"/>
        </v:line>
      </w:pict>
    </w:r>
    <w:r w:rsidR="00E12B2E">
      <w:br/>
    </w:r>
    <w:r w:rsidR="00C423F6">
      <w:t>Essential Skills – The Foundation f</w:t>
    </w:r>
    <w:r w:rsidR="00997C1D">
      <w:t xml:space="preserve">or </w:t>
    </w:r>
    <w:r w:rsidR="00C423F6">
      <w:t>Success</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A79EE"/>
    <w:rsid w:val="000D0236"/>
    <w:rsid w:val="000E1E1A"/>
    <w:rsid w:val="000E340B"/>
    <w:rsid w:val="000E713C"/>
    <w:rsid w:val="000F0D38"/>
    <w:rsid w:val="000F2773"/>
    <w:rsid w:val="001036C2"/>
    <w:rsid w:val="00112813"/>
    <w:rsid w:val="0011308E"/>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4457"/>
    <w:rsid w:val="005256AB"/>
    <w:rsid w:val="00526998"/>
    <w:rsid w:val="00532B90"/>
    <w:rsid w:val="005340E6"/>
    <w:rsid w:val="00536180"/>
    <w:rsid w:val="0054224E"/>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0871"/>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4EC9"/>
    <w:rsid w:val="00665CBE"/>
    <w:rsid w:val="006741C8"/>
    <w:rsid w:val="00683D0C"/>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42B7"/>
    <w:rsid w:val="007F5ED0"/>
    <w:rsid w:val="00802064"/>
    <w:rsid w:val="0081016A"/>
    <w:rsid w:val="00813634"/>
    <w:rsid w:val="0081525D"/>
    <w:rsid w:val="00816774"/>
    <w:rsid w:val="00825DB3"/>
    <w:rsid w:val="00826337"/>
    <w:rsid w:val="00826911"/>
    <w:rsid w:val="00827458"/>
    <w:rsid w:val="00837627"/>
    <w:rsid w:val="00842D51"/>
    <w:rsid w:val="0084553C"/>
    <w:rsid w:val="008465A2"/>
    <w:rsid w:val="00852312"/>
    <w:rsid w:val="008555B2"/>
    <w:rsid w:val="00856193"/>
    <w:rsid w:val="00857D36"/>
    <w:rsid w:val="00857E4C"/>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8F53F7"/>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B6632"/>
    <w:rsid w:val="009D0009"/>
    <w:rsid w:val="009D74E7"/>
    <w:rsid w:val="009E3392"/>
    <w:rsid w:val="009E4035"/>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2BBA"/>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5068"/>
    <w:rsid w:val="00D67E67"/>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BBA"/>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2007-04-12T17:48:00Z</cp:lastPrinted>
  <dcterms:created xsi:type="dcterms:W3CDTF">2017-05-11T20:50:00Z</dcterms:created>
  <dcterms:modified xsi:type="dcterms:W3CDTF">2017-05-11T20:50:00Z</dcterms:modified>
</cp:coreProperties>
</file>