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580"/>
        <w:gridCol w:w="2580"/>
        <w:gridCol w:w="2580"/>
      </w:tblGrid>
      <w:tr w:rsidR="00CA1566" w:rsidRPr="006A2C28" w:rsidTr="00CA1566">
        <w:trPr>
          <w:trHeight w:val="746"/>
        </w:trPr>
        <w:tc>
          <w:tcPr>
            <w:tcW w:w="1980" w:type="dxa"/>
            <w:shd w:val="clear" w:color="auto" w:fill="E6E6E6"/>
            <w:vAlign w:val="center"/>
          </w:tcPr>
          <w:p w:rsidR="00CA1566" w:rsidRPr="00072406" w:rsidRDefault="00CA1566" w:rsidP="0056145C">
            <w:pPr>
              <w:pStyle w:val="BLMText2"/>
              <w:jc w:val="center"/>
              <w:rPr>
                <w:b/>
                <w:szCs w:val="24"/>
              </w:rPr>
            </w:pPr>
          </w:p>
        </w:tc>
        <w:tc>
          <w:tcPr>
            <w:tcW w:w="2580" w:type="dxa"/>
            <w:shd w:val="clear" w:color="auto" w:fill="E6E6E6"/>
            <w:vAlign w:val="center"/>
          </w:tcPr>
          <w:p w:rsidR="00CA1566" w:rsidRPr="00CA1566" w:rsidRDefault="00CA1566" w:rsidP="00CA1566">
            <w:pPr>
              <w:pStyle w:val="BLMText2"/>
              <w:jc w:val="center"/>
              <w:rPr>
                <w:b/>
              </w:rPr>
            </w:pPr>
            <w:r w:rsidRPr="00CA1566">
              <w:rPr>
                <w:b/>
              </w:rPr>
              <w:t>Developing</w:t>
            </w:r>
          </w:p>
        </w:tc>
        <w:tc>
          <w:tcPr>
            <w:tcW w:w="2580" w:type="dxa"/>
            <w:shd w:val="clear" w:color="auto" w:fill="E6E6E6"/>
            <w:vAlign w:val="center"/>
          </w:tcPr>
          <w:p w:rsidR="00CA1566" w:rsidRPr="00272C1C" w:rsidRDefault="00CA1566" w:rsidP="00272C1C">
            <w:pPr>
              <w:pStyle w:val="BLMText2"/>
              <w:jc w:val="center"/>
              <w:rPr>
                <w:b/>
                <w:szCs w:val="24"/>
              </w:rPr>
            </w:pPr>
            <w:r w:rsidRPr="00AB081A">
              <w:rPr>
                <w:b/>
              </w:rPr>
              <w:t>Adequate</w:t>
            </w:r>
          </w:p>
        </w:tc>
        <w:tc>
          <w:tcPr>
            <w:tcW w:w="2580" w:type="dxa"/>
            <w:shd w:val="clear" w:color="auto" w:fill="E6E6E6"/>
            <w:vAlign w:val="center"/>
          </w:tcPr>
          <w:p w:rsidR="00CA1566" w:rsidRDefault="00CA1566" w:rsidP="00272C1C">
            <w:pPr>
              <w:pStyle w:val="BLMText2"/>
              <w:jc w:val="center"/>
              <w:rPr>
                <w:rFonts w:cs="Tahoma"/>
                <w:b/>
                <w:szCs w:val="24"/>
              </w:rPr>
            </w:pPr>
            <w:r w:rsidRPr="00AB081A">
              <w:rPr>
                <w:b/>
              </w:rPr>
              <w:t>Accomplished</w:t>
            </w:r>
          </w:p>
        </w:tc>
      </w:tr>
      <w:tr w:rsidR="00CA1566" w:rsidRPr="006A2C28" w:rsidTr="00CA1566">
        <w:trPr>
          <w:trHeight w:val="1826"/>
        </w:trPr>
        <w:tc>
          <w:tcPr>
            <w:tcW w:w="19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b/>
                <w:sz w:val="22"/>
                <w:szCs w:val="22"/>
              </w:rPr>
            </w:pPr>
            <w:r w:rsidRPr="00CA1566">
              <w:rPr>
                <w:b/>
                <w:sz w:val="22"/>
                <w:szCs w:val="22"/>
              </w:rPr>
              <w:t>Clarity of Response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response was disjointed and difficult to follow.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response was clear and organized.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 xml:space="preserve">The response used language that enhanced clarity and a format that was structured. </w:t>
            </w:r>
          </w:p>
        </w:tc>
      </w:tr>
      <w:tr w:rsidR="00CA1566" w:rsidRPr="006A2C28" w:rsidTr="00CA1566">
        <w:trPr>
          <w:trHeight w:val="1790"/>
        </w:trPr>
        <w:tc>
          <w:tcPr>
            <w:tcW w:w="19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b/>
                <w:sz w:val="22"/>
                <w:szCs w:val="22"/>
              </w:rPr>
            </w:pPr>
            <w:r w:rsidRPr="00CA1566">
              <w:rPr>
                <w:b/>
                <w:sz w:val="22"/>
                <w:szCs w:val="22"/>
              </w:rPr>
              <w:t>Focus of Response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There were some points made in the response, but they were not put into a framework.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points used in the responses were specific to the questions.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points were very specific and highly organized according to the questions.</w:t>
            </w:r>
          </w:p>
        </w:tc>
      </w:tr>
      <w:tr w:rsidR="00CA1566" w:rsidRPr="006A2C28" w:rsidTr="00CA1566">
        <w:trPr>
          <w:trHeight w:val="2366"/>
        </w:trPr>
        <w:tc>
          <w:tcPr>
            <w:tcW w:w="19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b/>
                <w:sz w:val="22"/>
                <w:szCs w:val="22"/>
              </w:rPr>
            </w:pPr>
            <w:r w:rsidRPr="00CA1566">
              <w:rPr>
                <w:b/>
                <w:sz w:val="22"/>
                <w:szCs w:val="22"/>
              </w:rPr>
              <w:t>Elaboration of Points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There was little elaboration used in each response.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Each response contained an elaboration using examples from experience or from Career Portfolio.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Each response contained an elaboration using examples from experience and from Career Portfolio.</w:t>
            </w:r>
          </w:p>
        </w:tc>
      </w:tr>
      <w:tr w:rsidR="00CA1566" w:rsidRPr="006A2C28" w:rsidTr="00CA1566">
        <w:trPr>
          <w:trHeight w:val="1970"/>
        </w:trPr>
        <w:tc>
          <w:tcPr>
            <w:tcW w:w="19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b/>
                <w:sz w:val="22"/>
                <w:szCs w:val="22"/>
              </w:rPr>
            </w:pPr>
            <w:r w:rsidRPr="00CA1566">
              <w:rPr>
                <w:b/>
                <w:sz w:val="22"/>
                <w:szCs w:val="22"/>
              </w:rPr>
              <w:t>Thoughtfulness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response showed little thoughtfulness or reflection.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response contained some personal reflections.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response was appropriately reflective and contained some personal references.</w:t>
            </w:r>
          </w:p>
        </w:tc>
      </w:tr>
      <w:tr w:rsidR="00CA1566" w:rsidRPr="006A2C28" w:rsidTr="00CA1566">
        <w:trPr>
          <w:trHeight w:val="1970"/>
        </w:trPr>
        <w:tc>
          <w:tcPr>
            <w:tcW w:w="19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b/>
                <w:sz w:val="22"/>
                <w:szCs w:val="22"/>
              </w:rPr>
            </w:pPr>
            <w:r w:rsidRPr="00CA1566">
              <w:rPr>
                <w:b/>
                <w:sz w:val="22"/>
                <w:szCs w:val="22"/>
              </w:rPr>
              <w:t>Body Language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interviewee seemed uncomfortable in the interview.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interviewee was prepared and comfortable during the interview.</w:t>
            </w:r>
          </w:p>
        </w:tc>
        <w:tc>
          <w:tcPr>
            <w:tcW w:w="2580" w:type="dxa"/>
          </w:tcPr>
          <w:p w:rsidR="00CA1566" w:rsidRPr="00CA1566" w:rsidRDefault="00CA1566" w:rsidP="00CA1566">
            <w:pPr>
              <w:pStyle w:val="BodyText"/>
              <w:spacing w:before="120"/>
              <w:rPr>
                <w:sz w:val="22"/>
                <w:szCs w:val="22"/>
              </w:rPr>
            </w:pPr>
            <w:r w:rsidRPr="00CA1566">
              <w:rPr>
                <w:sz w:val="22"/>
                <w:szCs w:val="22"/>
              </w:rPr>
              <w:t>The interviewee seemed very self-confident throughout the interview process.</w:t>
            </w:r>
          </w:p>
        </w:tc>
      </w:tr>
    </w:tbl>
    <w:p w:rsidR="001F10F5" w:rsidRPr="00F97562" w:rsidRDefault="001F10F5" w:rsidP="00F22C3B">
      <w:pPr>
        <w:pStyle w:val="Text"/>
        <w:spacing w:beforeLines="60"/>
      </w:pPr>
    </w:p>
    <w:sectPr w:rsidR="001F10F5" w:rsidRPr="00F97562" w:rsidSect="0033229D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D3" w:rsidRDefault="006118D3">
      <w:r>
        <w:separator/>
      </w:r>
    </w:p>
  </w:endnote>
  <w:endnote w:type="continuationSeparator" w:id="0">
    <w:p w:rsidR="006118D3" w:rsidRDefault="0061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D3" w:rsidRDefault="006118D3">
      <w:r>
        <w:separator/>
      </w:r>
    </w:p>
  </w:footnote>
  <w:footnote w:type="continuationSeparator" w:id="0">
    <w:p w:rsidR="006118D3" w:rsidRDefault="0061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F374D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6317CA">
      <w:rPr>
        <w:b/>
      </w:rPr>
      <w:t>19</w:t>
    </w:r>
  </w:p>
  <w:p w:rsidR="002F6F8E" w:rsidRPr="00CA1566" w:rsidRDefault="00CA1566" w:rsidP="00F374D1">
    <w:pPr>
      <w:pStyle w:val="BLMslo"/>
      <w:framePr w:w="1441" w:wrap="around" w:x="1261"/>
      <w:shd w:val="clear" w:color="auto" w:fill="auto"/>
      <w:rPr>
        <w:sz w:val="18"/>
        <w:szCs w:val="18"/>
      </w:rPr>
    </w:pPr>
    <w:r w:rsidRPr="00CA1566">
      <w:rPr>
        <w:sz w:val="18"/>
        <w:szCs w:val="18"/>
      </w:rPr>
      <w:t>(3.I.2-3.</w:t>
    </w:r>
    <w:r w:rsidR="00464DC3">
      <w:rPr>
        <w:sz w:val="18"/>
        <w:szCs w:val="18"/>
      </w:rPr>
      <w:t>J</w:t>
    </w:r>
    <w:r w:rsidRPr="00CA1566">
      <w:rPr>
        <w:sz w:val="18"/>
        <w:szCs w:val="18"/>
      </w:rPr>
      <w:t>.3</w:t>
    </w:r>
    <w:r w:rsidR="00F374D1" w:rsidRPr="00CA1566">
      <w:rPr>
        <w:sz w:val="18"/>
        <w:szCs w:val="18"/>
      </w:rPr>
      <w:t>)</w:t>
    </w:r>
  </w:p>
  <w:p w:rsidR="004A0EC2" w:rsidRPr="00E81E46" w:rsidRDefault="00F22C3B" w:rsidP="00AB764B">
    <w:pPr>
      <w:pStyle w:val="BLMTitle"/>
    </w:pPr>
    <w:r w:rsidRPr="00F22C3B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CA1566">
      <w:t>Rubric for Assessing Interview Responses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16B"/>
    <w:multiLevelType w:val="hybridMultilevel"/>
    <w:tmpl w:val="15723958"/>
    <w:lvl w:ilvl="0" w:tplc="C832DEA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A5E72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964"/>
    <w:rsid w:val="001E7A8A"/>
    <w:rsid w:val="001F10F5"/>
    <w:rsid w:val="001F1D57"/>
    <w:rsid w:val="001F3C5B"/>
    <w:rsid w:val="001F3FFC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2C1C"/>
    <w:rsid w:val="00275655"/>
    <w:rsid w:val="00275FF5"/>
    <w:rsid w:val="0028399A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4DC3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1533"/>
    <w:rsid w:val="005256AB"/>
    <w:rsid w:val="00526998"/>
    <w:rsid w:val="00532B90"/>
    <w:rsid w:val="005340E6"/>
    <w:rsid w:val="00536180"/>
    <w:rsid w:val="00545FB9"/>
    <w:rsid w:val="005563C3"/>
    <w:rsid w:val="0056145C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0A38"/>
    <w:rsid w:val="005C2536"/>
    <w:rsid w:val="005D6415"/>
    <w:rsid w:val="005E43D0"/>
    <w:rsid w:val="005F6402"/>
    <w:rsid w:val="0060223A"/>
    <w:rsid w:val="00606C80"/>
    <w:rsid w:val="0060724C"/>
    <w:rsid w:val="006118D3"/>
    <w:rsid w:val="00612F5E"/>
    <w:rsid w:val="00622D6D"/>
    <w:rsid w:val="006317CA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0B1F"/>
    <w:rsid w:val="00732345"/>
    <w:rsid w:val="00736FC4"/>
    <w:rsid w:val="00737EC1"/>
    <w:rsid w:val="00746EB9"/>
    <w:rsid w:val="007475BB"/>
    <w:rsid w:val="007514D3"/>
    <w:rsid w:val="00756193"/>
    <w:rsid w:val="0075717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4C36"/>
    <w:rsid w:val="007D536A"/>
    <w:rsid w:val="007D74B8"/>
    <w:rsid w:val="007E110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AFD"/>
    <w:rsid w:val="00842D51"/>
    <w:rsid w:val="0084553C"/>
    <w:rsid w:val="00847EB1"/>
    <w:rsid w:val="00852312"/>
    <w:rsid w:val="00856193"/>
    <w:rsid w:val="00857D36"/>
    <w:rsid w:val="00857E4C"/>
    <w:rsid w:val="0086156B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1A8D"/>
    <w:rsid w:val="009749E8"/>
    <w:rsid w:val="00980FF8"/>
    <w:rsid w:val="00985422"/>
    <w:rsid w:val="009875CF"/>
    <w:rsid w:val="00993B82"/>
    <w:rsid w:val="00994886"/>
    <w:rsid w:val="009A5844"/>
    <w:rsid w:val="009B4C41"/>
    <w:rsid w:val="009D544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0C54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175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566"/>
    <w:rsid w:val="00CA1B6F"/>
    <w:rsid w:val="00CB16AA"/>
    <w:rsid w:val="00CB49F4"/>
    <w:rsid w:val="00CC75BA"/>
    <w:rsid w:val="00CD0036"/>
    <w:rsid w:val="00CD076D"/>
    <w:rsid w:val="00CD5197"/>
    <w:rsid w:val="00CD5681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2C3B"/>
    <w:rsid w:val="00F238CA"/>
    <w:rsid w:val="00F374D1"/>
    <w:rsid w:val="00F41E0C"/>
    <w:rsid w:val="00F45585"/>
    <w:rsid w:val="00F47CDD"/>
    <w:rsid w:val="00F50A60"/>
    <w:rsid w:val="00F5195F"/>
    <w:rsid w:val="00F56B42"/>
    <w:rsid w:val="00F60308"/>
    <w:rsid w:val="00F67972"/>
    <w:rsid w:val="00F709BF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A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paragraph" w:styleId="BodyText">
    <w:name w:val="Body Text"/>
    <w:basedOn w:val="Normal"/>
    <w:rsid w:val="00CA1566"/>
    <w:pPr>
      <w:spacing w:after="120" w:line="240" w:lineRule="atLeas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2008-07-21T17:12:00Z</cp:lastPrinted>
  <dcterms:created xsi:type="dcterms:W3CDTF">2017-05-11T20:49:00Z</dcterms:created>
  <dcterms:modified xsi:type="dcterms:W3CDTF">2017-05-11T20:49:00Z</dcterms:modified>
</cp:coreProperties>
</file>