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C5" w:rsidRDefault="00993BC5" w:rsidP="00C04898">
      <w:pPr>
        <w:spacing w:after="0" w:line="240" w:lineRule="auto"/>
        <w:ind w:left="-426" w:right="-421"/>
        <w:rPr>
          <w:rFonts w:cs="Calibri"/>
          <w:b/>
          <w:sz w:val="32"/>
          <w:lang w:val="fr-CA"/>
        </w:rPr>
      </w:pPr>
    </w:p>
    <w:p w:rsidR="00993BC5" w:rsidRPr="00C04898" w:rsidRDefault="00993BC5" w:rsidP="00C04898">
      <w:pPr>
        <w:spacing w:after="0" w:line="240" w:lineRule="auto"/>
        <w:ind w:left="-426" w:right="-421"/>
        <w:jc w:val="center"/>
        <w:rPr>
          <w:rFonts w:cs="Calibri"/>
          <w:b/>
          <w:sz w:val="28"/>
          <w:szCs w:val="28"/>
          <w:lang w:val="fr-CA"/>
        </w:rPr>
      </w:pPr>
      <w:r w:rsidRPr="00C04898">
        <w:rPr>
          <w:rFonts w:cs="Calibri"/>
          <w:b/>
          <w:sz w:val="28"/>
          <w:szCs w:val="28"/>
          <w:lang w:val="fr-CA"/>
        </w:rPr>
        <w:t xml:space="preserve">ANNEXE 26 : Les transformateurs – Renseignements pour l’enseignant </w:t>
      </w:r>
    </w:p>
    <w:p w:rsidR="00095F2E" w:rsidRDefault="00095F2E" w:rsidP="00524B08">
      <w:pPr>
        <w:widowControl w:val="0"/>
        <w:autoSpaceDE w:val="0"/>
        <w:autoSpaceDN w:val="0"/>
        <w:adjustRightInd w:val="0"/>
        <w:spacing w:after="0" w:line="240" w:lineRule="auto"/>
        <w:jc w:val="center"/>
        <w:rPr>
          <w:lang w:val="fr-CA"/>
        </w:rPr>
      </w:pPr>
    </w:p>
    <w:p w:rsidR="007B69B4" w:rsidRPr="00095F2E" w:rsidRDefault="007B69B4" w:rsidP="00524B08">
      <w:pPr>
        <w:widowControl w:val="0"/>
        <w:autoSpaceDE w:val="0"/>
        <w:autoSpaceDN w:val="0"/>
        <w:adjustRightInd w:val="0"/>
        <w:spacing w:after="0" w:line="240" w:lineRule="auto"/>
        <w:rPr>
          <w:rFonts w:cstheme="minorHAnsi"/>
          <w:lang w:val="fr-CA"/>
        </w:rPr>
      </w:pPr>
      <w:r w:rsidRPr="00095F2E">
        <w:rPr>
          <w:rFonts w:cstheme="minorHAnsi"/>
          <w:lang w:val="fr-CA"/>
        </w:rPr>
        <w:t>Le transformateur est un appareil qui permet de réduire ou d’augmenter le potentiel électrique. Les appareils électriques qu’on utilise ont souvent besoin de différents potentiels électriques et courants pour fonctionner.</w:t>
      </w:r>
      <w:r w:rsidR="00A82FBA">
        <w:rPr>
          <w:rFonts w:cstheme="minorHAnsi"/>
          <w:lang w:val="fr-CA"/>
        </w:rPr>
        <w:t xml:space="preserve"> </w:t>
      </w:r>
      <w:r w:rsidRPr="00095F2E">
        <w:rPr>
          <w:rFonts w:cstheme="minorHAnsi"/>
          <w:lang w:val="fr-CA"/>
        </w:rPr>
        <w:t>Il faut donc faire varier le potentiel électrique qui entre dans une maison (généralement d’une valeur de 120 V). Par exemple, 3 à 9 V sont nécessaires pour recharger des piles. Les transformateurs sont aussi importants lors de la distribution d’électricité à partir d’une centrale électrique.</w:t>
      </w:r>
    </w:p>
    <w:p w:rsidR="007B69B4" w:rsidRPr="00095F2E" w:rsidRDefault="007B69B4" w:rsidP="00524B08">
      <w:pPr>
        <w:widowControl w:val="0"/>
        <w:autoSpaceDE w:val="0"/>
        <w:autoSpaceDN w:val="0"/>
        <w:adjustRightInd w:val="0"/>
        <w:spacing w:after="0" w:line="240" w:lineRule="auto"/>
        <w:rPr>
          <w:rFonts w:cstheme="minorHAnsi"/>
          <w:lang w:val="fr-CA"/>
        </w:rPr>
      </w:pPr>
    </w:p>
    <w:p w:rsidR="007B69B4" w:rsidRPr="00095F2E" w:rsidRDefault="007B69B4" w:rsidP="00524B08">
      <w:pPr>
        <w:widowControl w:val="0"/>
        <w:autoSpaceDE w:val="0"/>
        <w:autoSpaceDN w:val="0"/>
        <w:adjustRightInd w:val="0"/>
        <w:spacing w:after="0" w:line="240" w:lineRule="auto"/>
        <w:rPr>
          <w:rFonts w:cstheme="minorHAnsi"/>
          <w:lang w:val="fr-CA"/>
        </w:rPr>
      </w:pPr>
      <w:r w:rsidRPr="00095F2E">
        <w:rPr>
          <w:rFonts w:cstheme="minorHAnsi"/>
          <w:lang w:val="fr-CA"/>
        </w:rPr>
        <w:t>Un transformateur est un appareil formé de deux bobines à plusieurs tours enroulées de chaque côté d’un même noyau en fer doux. Lorsqu’un courant circule dans l’enroulement primaire, il crée un champ magnétique variable dans le noyau de fer. Ce noyau de fer permet au champ magnétique de se rendre à l’enroulement secondaire. Puisque le champ magnétique est variable, le flux magnétique dans les enroulements est aussi variable. Un potentiel électrique est donc induit. Si on branche une résistance à l’enroulement secondaire, un courant induit va y circuler. Selon la loi de Lenz, le courant induit devrait s’opposer au flux magnétique qui l’a induit.</w:t>
      </w:r>
    </w:p>
    <w:p w:rsidR="007B69B4" w:rsidRPr="00095F2E" w:rsidRDefault="007B69B4" w:rsidP="00524B08">
      <w:pPr>
        <w:widowControl w:val="0"/>
        <w:autoSpaceDE w:val="0"/>
        <w:autoSpaceDN w:val="0"/>
        <w:adjustRightInd w:val="0"/>
        <w:spacing w:after="0" w:line="240" w:lineRule="auto"/>
        <w:rPr>
          <w:rFonts w:cstheme="minorHAnsi"/>
          <w:lang w:val="fr-CA"/>
        </w:rPr>
      </w:pPr>
    </w:p>
    <w:p w:rsidR="007B69B4" w:rsidRPr="00095F2E" w:rsidRDefault="007B69B4" w:rsidP="00524B08">
      <w:pPr>
        <w:widowControl w:val="0"/>
        <w:autoSpaceDE w:val="0"/>
        <w:autoSpaceDN w:val="0"/>
        <w:adjustRightInd w:val="0"/>
        <w:spacing w:after="0" w:line="240" w:lineRule="auto"/>
        <w:rPr>
          <w:rFonts w:cstheme="minorHAnsi"/>
          <w:lang w:val="fr-CA"/>
        </w:rPr>
      </w:pPr>
      <w:r w:rsidRPr="00095F2E">
        <w:rPr>
          <w:rFonts w:cstheme="minorHAnsi"/>
          <w:lang w:val="fr-CA"/>
        </w:rPr>
        <w:t>Un transformateur fonctionne avec un courant alternatif et non un courant direct. Un courant direct dans l’enroulement primaire produit un flux, mais ce flux n’est pas variable. Il n’y a donc aucun potentiel électrique induit dans l’enroulement secondaire.</w:t>
      </w:r>
    </w:p>
    <w:p w:rsidR="007B69B4" w:rsidRPr="00095F2E" w:rsidRDefault="007B69B4" w:rsidP="00524B08">
      <w:pPr>
        <w:widowControl w:val="0"/>
        <w:autoSpaceDE w:val="0"/>
        <w:autoSpaceDN w:val="0"/>
        <w:adjustRightInd w:val="0"/>
        <w:spacing w:after="0" w:line="240" w:lineRule="auto"/>
        <w:rPr>
          <w:rFonts w:cstheme="minorHAnsi"/>
          <w:sz w:val="20"/>
          <w:szCs w:val="20"/>
          <w:lang w:val="fr-CA"/>
        </w:rPr>
      </w:pPr>
    </w:p>
    <w:p w:rsidR="007B69B4" w:rsidRPr="00095F2E" w:rsidRDefault="00FC32BC" w:rsidP="00524B08">
      <w:pPr>
        <w:widowControl w:val="0"/>
        <w:autoSpaceDE w:val="0"/>
        <w:autoSpaceDN w:val="0"/>
        <w:adjustRightInd w:val="0"/>
        <w:spacing w:after="0" w:line="240" w:lineRule="auto"/>
        <w:rPr>
          <w:rFonts w:cstheme="minorHAnsi"/>
          <w:sz w:val="20"/>
          <w:szCs w:val="20"/>
          <w:lang w:val="fr-CA"/>
        </w:rPr>
      </w:pPr>
      <w:r w:rsidRPr="00FC32BC">
        <w:rPr>
          <w:rFonts w:cstheme="minorHAnsi"/>
          <w:noProof/>
        </w:rPr>
        <w:pict>
          <v:group id="_x0000_s13065" style="position:absolute;margin-left:-23.4pt;margin-top:4.9pt;width:477pt;height:243pt;z-index:251715584" coordorigin="1332,2700" coordsize="9540,4860">
            <v:shapetype id="_x0000_t202" coordsize="21600,21600" o:spt="202" path="m,l,21600r21600,l21600,xe">
              <v:stroke joinstyle="miter"/>
              <v:path gradientshapeok="t" o:connecttype="rect"/>
            </v:shapetype>
            <v:shape id="_x0000_s13066" type="#_x0000_t202" style="position:absolute;left:6912;top:2700;width:3240;height:442" stroked="f">
              <v:textbox style="mso-next-textbox:#_x0000_s13066">
                <w:txbxContent>
                  <w:p w:rsidR="001801DB" w:rsidRPr="006B6B8A" w:rsidRDefault="001801DB" w:rsidP="007B69B4">
                    <w:pPr>
                      <w:rPr>
                        <w:rFonts w:ascii="Arial" w:hAnsi="Arial" w:cs="Arial"/>
                        <w:b/>
                        <w:sz w:val="20"/>
                        <w:szCs w:val="20"/>
                        <w:lang w:val="fr-CA"/>
                      </w:rPr>
                    </w:pPr>
                    <w:r w:rsidRPr="006B6B8A">
                      <w:rPr>
                        <w:rFonts w:ascii="Arial" w:hAnsi="Arial" w:cs="Arial"/>
                        <w:b/>
                        <w:sz w:val="20"/>
                        <w:szCs w:val="20"/>
                        <w:lang w:val="fr-CA"/>
                      </w:rPr>
                      <w:t>Champ magnétique variable</w:t>
                    </w:r>
                  </w:p>
                </w:txbxContent>
              </v:textbox>
            </v:shape>
            <v:shape id="_x0000_s13067" type="#_x0000_t202" style="position:absolute;left:8532;top:3420;width:1620;height:442" stroked="f">
              <v:textbox style="mso-next-textbox:#_x0000_s13067">
                <w:txbxContent>
                  <w:p w:rsidR="001801DB" w:rsidRPr="006B6B8A" w:rsidRDefault="001801DB" w:rsidP="007B69B4">
                    <w:pPr>
                      <w:rPr>
                        <w:rFonts w:ascii="Arial" w:hAnsi="Arial" w:cs="Arial"/>
                        <w:b/>
                        <w:sz w:val="20"/>
                        <w:szCs w:val="20"/>
                        <w:lang w:val="fr-CA"/>
                      </w:rPr>
                    </w:pPr>
                    <w:proofErr w:type="gramStart"/>
                    <w:r w:rsidRPr="006B6B8A">
                      <w:rPr>
                        <w:rFonts w:ascii="Arial" w:hAnsi="Arial" w:cs="Arial"/>
                        <w:b/>
                        <w:sz w:val="20"/>
                        <w:szCs w:val="20"/>
                        <w:lang w:val="fr-CA"/>
                      </w:rPr>
                      <w:t>interrupteur</w:t>
                    </w:r>
                    <w:proofErr w:type="gramEnd"/>
                  </w:p>
                </w:txbxContent>
              </v:textbox>
            </v:shape>
            <v:shape id="_x0000_s13068" type="#_x0000_t202" style="position:absolute;left:7632;top:5940;width:3240;height:442" stroked="f">
              <v:textbox style="mso-next-textbox:#_x0000_s13068">
                <w:txbxContent>
                  <w:p w:rsidR="001801DB" w:rsidRPr="006B6B8A" w:rsidRDefault="001801DB" w:rsidP="007B69B4">
                    <w:pPr>
                      <w:rPr>
                        <w:rFonts w:ascii="Arial" w:hAnsi="Arial" w:cs="Arial"/>
                        <w:b/>
                        <w:sz w:val="20"/>
                        <w:szCs w:val="20"/>
                        <w:lang w:val="fr-CA"/>
                      </w:rPr>
                    </w:pPr>
                    <w:r w:rsidRPr="006B6B8A">
                      <w:rPr>
                        <w:rFonts w:ascii="Arial" w:hAnsi="Arial" w:cs="Arial"/>
                        <w:b/>
                        <w:sz w:val="20"/>
                        <w:szCs w:val="20"/>
                        <w:lang w:val="fr-CA"/>
                      </w:rPr>
                      <w:t>N</w:t>
                    </w:r>
                    <w:r w:rsidRPr="006B6B8A">
                      <w:rPr>
                        <w:rFonts w:ascii="Arial" w:hAnsi="Arial" w:cs="Arial"/>
                        <w:b/>
                        <w:sz w:val="20"/>
                        <w:szCs w:val="20"/>
                        <w:vertAlign w:val="subscript"/>
                        <w:lang w:val="fr-CA"/>
                      </w:rPr>
                      <w:t>S </w:t>
                    </w:r>
                    <w:r w:rsidRPr="006B6B8A">
                      <w:rPr>
                        <w:rFonts w:ascii="Arial" w:hAnsi="Arial" w:cs="Arial"/>
                        <w:b/>
                        <w:sz w:val="20"/>
                        <w:szCs w:val="20"/>
                        <w:lang w:val="fr-CA"/>
                      </w:rPr>
                      <w:t>: enroulement secondaire</w:t>
                    </w:r>
                  </w:p>
                </w:txbxContent>
              </v:textbox>
            </v:shape>
            <v:shape id="_x0000_s13069" type="#_x0000_t202" style="position:absolute;left:6012;top:6660;width:3240;height:442" stroked="f">
              <v:textbox style="mso-next-textbox:#_x0000_s13069">
                <w:txbxContent>
                  <w:p w:rsidR="001801DB" w:rsidRPr="006B6B8A" w:rsidRDefault="001801DB" w:rsidP="007B69B4">
                    <w:pPr>
                      <w:rPr>
                        <w:rFonts w:ascii="Arial" w:hAnsi="Arial" w:cs="Arial"/>
                        <w:b/>
                        <w:sz w:val="20"/>
                        <w:szCs w:val="20"/>
                        <w:lang w:val="fr-CA"/>
                      </w:rPr>
                    </w:pPr>
                    <w:r w:rsidRPr="006B6B8A">
                      <w:rPr>
                        <w:rFonts w:ascii="Arial" w:hAnsi="Arial" w:cs="Arial"/>
                        <w:b/>
                        <w:sz w:val="20"/>
                        <w:szCs w:val="20"/>
                        <w:lang w:val="fr-CA"/>
                      </w:rPr>
                      <w:t>N</w:t>
                    </w:r>
                    <w:r w:rsidRPr="006B6B8A">
                      <w:rPr>
                        <w:rFonts w:ascii="Arial" w:hAnsi="Arial" w:cs="Arial"/>
                        <w:b/>
                        <w:sz w:val="20"/>
                        <w:szCs w:val="20"/>
                        <w:vertAlign w:val="subscript"/>
                        <w:lang w:val="fr-CA"/>
                      </w:rPr>
                      <w:t>P </w:t>
                    </w:r>
                    <w:r w:rsidRPr="006B6B8A">
                      <w:rPr>
                        <w:rFonts w:ascii="Arial" w:hAnsi="Arial" w:cs="Arial"/>
                        <w:b/>
                        <w:sz w:val="20"/>
                        <w:szCs w:val="20"/>
                        <w:lang w:val="fr-CA"/>
                      </w:rPr>
                      <w:t>: enroulement primaire</w:t>
                    </w:r>
                  </w:p>
                </w:txbxContent>
              </v:textbox>
            </v:shape>
            <v:shape id="_x0000_s13070" type="#_x0000_t202" style="position:absolute;left:4032;top:6660;width:1440;height:900" stroked="f">
              <v:textbox style="mso-next-textbox:#_x0000_s13070">
                <w:txbxContent>
                  <w:p w:rsidR="001801DB" w:rsidRPr="006B6B8A" w:rsidRDefault="001801DB" w:rsidP="007B69B4">
                    <w:pPr>
                      <w:jc w:val="center"/>
                      <w:rPr>
                        <w:rFonts w:ascii="Arial" w:hAnsi="Arial" w:cs="Arial"/>
                        <w:b/>
                        <w:sz w:val="20"/>
                        <w:szCs w:val="20"/>
                        <w:lang w:val="fr-CA"/>
                      </w:rPr>
                    </w:pPr>
                    <w:proofErr w:type="gramStart"/>
                    <w:r w:rsidRPr="006B6B8A">
                      <w:rPr>
                        <w:rFonts w:ascii="Arial" w:hAnsi="Arial" w:cs="Arial"/>
                        <w:b/>
                        <w:sz w:val="20"/>
                        <w:szCs w:val="20"/>
                        <w:lang w:val="fr-CA"/>
                      </w:rPr>
                      <w:t>noyau</w:t>
                    </w:r>
                    <w:proofErr w:type="gramEnd"/>
                    <w:r w:rsidRPr="006B6B8A">
                      <w:rPr>
                        <w:rFonts w:ascii="Arial" w:hAnsi="Arial" w:cs="Arial"/>
                        <w:b/>
                        <w:sz w:val="20"/>
                        <w:szCs w:val="20"/>
                        <w:lang w:val="fr-CA"/>
                      </w:rPr>
                      <w:t xml:space="preserve"> en fer</w:t>
                    </w:r>
                  </w:p>
                </w:txbxContent>
              </v:textbox>
            </v:shape>
            <v:shape id="_x0000_s13071" type="#_x0000_t202" style="position:absolute;left:1332;top:4320;width:2520;height:720" stroked="f">
              <v:textbox style="mso-next-textbox:#_x0000_s13071">
                <w:txbxContent>
                  <w:p w:rsidR="001801DB" w:rsidRPr="006B6B8A" w:rsidRDefault="001801DB" w:rsidP="007B69B4">
                    <w:pPr>
                      <w:rPr>
                        <w:rFonts w:ascii="Arial" w:hAnsi="Arial" w:cs="Arial"/>
                        <w:b/>
                        <w:sz w:val="20"/>
                        <w:szCs w:val="20"/>
                        <w:lang w:val="fr-CA"/>
                      </w:rPr>
                    </w:pPr>
                    <w:proofErr w:type="gramStart"/>
                    <w:r w:rsidRPr="006B6B8A">
                      <w:rPr>
                        <w:rFonts w:ascii="Arial" w:hAnsi="Arial" w:cs="Arial"/>
                        <w:b/>
                        <w:sz w:val="20"/>
                        <w:szCs w:val="20"/>
                        <w:lang w:val="fr-CA"/>
                      </w:rPr>
                      <w:t>génératrice</w:t>
                    </w:r>
                    <w:proofErr w:type="gramEnd"/>
                    <w:r w:rsidRPr="006B6B8A">
                      <w:rPr>
                        <w:rFonts w:ascii="Arial" w:hAnsi="Arial" w:cs="Arial"/>
                        <w:b/>
                        <w:sz w:val="20"/>
                        <w:szCs w:val="20"/>
                        <w:lang w:val="fr-CA"/>
                      </w:rPr>
                      <w:t xml:space="preserve"> à courant alternatif</w:t>
                    </w:r>
                  </w:p>
                </w:txbxContent>
              </v:textbox>
            </v:shape>
          </v:group>
        </w:pict>
      </w:r>
      <w:r w:rsidR="00081B2A">
        <w:rPr>
          <w:rFonts w:cstheme="minorHAnsi"/>
          <w:noProof/>
          <w:sz w:val="20"/>
          <w:szCs w:val="20"/>
          <w:lang w:val="fr-CA" w:eastAsia="fr-CA"/>
        </w:rPr>
        <w:drawing>
          <wp:inline distT="0" distB="0" distL="0" distR="0">
            <wp:extent cx="5302250" cy="3016250"/>
            <wp:effectExtent l="19050" t="0" r="0" b="0"/>
            <wp:docPr id="1126" name="Picture 847" descr="M8L5 Transformer Fluctuating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M8L5 Transformer Fluctuating B"/>
                    <pic:cNvPicPr>
                      <a:picLocks noChangeAspect="1" noChangeArrowheads="1"/>
                    </pic:cNvPicPr>
                  </pic:nvPicPr>
                  <pic:blipFill>
                    <a:blip r:embed="rId8" cstate="print"/>
                    <a:srcRect/>
                    <a:stretch>
                      <a:fillRect/>
                    </a:stretch>
                  </pic:blipFill>
                  <pic:spPr bwMode="auto">
                    <a:xfrm>
                      <a:off x="0" y="0"/>
                      <a:ext cx="5302250" cy="3016250"/>
                    </a:xfrm>
                    <a:prstGeom prst="rect">
                      <a:avLst/>
                    </a:prstGeom>
                    <a:noFill/>
                    <a:ln w="9525">
                      <a:noFill/>
                      <a:miter lim="800000"/>
                      <a:headEnd/>
                      <a:tailEnd/>
                    </a:ln>
                  </pic:spPr>
                </pic:pic>
              </a:graphicData>
            </a:graphic>
          </wp:inline>
        </w:drawing>
      </w:r>
    </w:p>
    <w:p w:rsidR="00120B3E" w:rsidRDefault="00120B3E" w:rsidP="00524B08">
      <w:pPr>
        <w:spacing w:after="0" w:line="240" w:lineRule="auto"/>
        <w:jc w:val="right"/>
        <w:rPr>
          <w:b/>
          <w:lang w:val="fr-CA"/>
        </w:rPr>
      </w:pPr>
    </w:p>
    <w:p w:rsidR="00993BC5" w:rsidRDefault="00993BC5" w:rsidP="00524B08">
      <w:pPr>
        <w:spacing w:after="0" w:line="240" w:lineRule="auto"/>
        <w:jc w:val="right"/>
        <w:rPr>
          <w:b/>
          <w:lang w:val="fr-CA"/>
        </w:rPr>
      </w:pPr>
    </w:p>
    <w:p w:rsidR="00993BC5" w:rsidRDefault="00993BC5" w:rsidP="00524B08">
      <w:pPr>
        <w:spacing w:after="0" w:line="240" w:lineRule="auto"/>
        <w:jc w:val="right"/>
        <w:rPr>
          <w:b/>
          <w:lang w:val="fr-CA"/>
        </w:rPr>
      </w:pPr>
    </w:p>
    <w:p w:rsidR="00047CDE" w:rsidRDefault="00047CDE" w:rsidP="00524B08">
      <w:pPr>
        <w:spacing w:after="0" w:line="240" w:lineRule="auto"/>
        <w:jc w:val="right"/>
        <w:rPr>
          <w:b/>
          <w:lang w:val="fr-CA"/>
        </w:rPr>
      </w:pPr>
    </w:p>
    <w:p w:rsidR="00047CDE" w:rsidRDefault="00047CDE" w:rsidP="00524B08">
      <w:pPr>
        <w:spacing w:after="0" w:line="240" w:lineRule="auto"/>
        <w:jc w:val="right"/>
        <w:rPr>
          <w:b/>
          <w:lang w:val="fr-CA"/>
        </w:rPr>
      </w:pPr>
    </w:p>
    <w:p w:rsidR="00047CDE" w:rsidRDefault="00047CDE" w:rsidP="00524B08">
      <w:pPr>
        <w:spacing w:after="0" w:line="240" w:lineRule="auto"/>
        <w:jc w:val="right"/>
        <w:rPr>
          <w:b/>
          <w:lang w:val="fr-CA"/>
        </w:rPr>
      </w:pPr>
    </w:p>
    <w:p w:rsidR="00047CDE" w:rsidRDefault="00FC32BC" w:rsidP="00524B08">
      <w:pPr>
        <w:spacing w:after="0" w:line="240" w:lineRule="auto"/>
        <w:jc w:val="right"/>
        <w:rPr>
          <w:b/>
          <w:lang w:val="fr-CA"/>
        </w:rPr>
      </w:pPr>
      <w:r>
        <w:rPr>
          <w:b/>
          <w:noProof/>
          <w:lang w:val="fr-CA" w:eastAsia="fr-CA"/>
        </w:rPr>
        <w:pict>
          <v:shape id="_x0000_s22316" type="#_x0000_t202" style="position:absolute;left:0;text-align:left;margin-left:-37.05pt;margin-top:26.4pt;width:62.05pt;height:23.75pt;z-index:252037120" filled="f" stroked="f">
            <v:textbox>
              <w:txbxContent>
                <w:p w:rsidR="001801DB" w:rsidRPr="006C41D8" w:rsidRDefault="001801DB" w:rsidP="00784CA8">
                  <w:pPr>
                    <w:rPr>
                      <w:sz w:val="20"/>
                      <w:lang w:val="fr-CA"/>
                    </w:rPr>
                  </w:pPr>
                  <w:r w:rsidRPr="006C41D8">
                    <w:rPr>
                      <w:sz w:val="20"/>
                      <w:lang w:val="fr-CA"/>
                    </w:rPr>
                    <w:t xml:space="preserve">Bloc </w:t>
                  </w:r>
                  <w:r>
                    <w:rPr>
                      <w:sz w:val="20"/>
                      <w:lang w:val="fr-CA"/>
                    </w:rPr>
                    <w:t>G</w:t>
                  </w:r>
                </w:p>
              </w:txbxContent>
            </v:textbox>
          </v:shape>
        </w:pict>
      </w:r>
    </w:p>
    <w:p w:rsidR="00993BC5" w:rsidRDefault="00993BC5" w:rsidP="00524B08">
      <w:pPr>
        <w:spacing w:after="0" w:line="240" w:lineRule="auto"/>
        <w:jc w:val="right"/>
        <w:rPr>
          <w:b/>
          <w:lang w:val="fr-CA"/>
        </w:rPr>
      </w:pPr>
    </w:p>
    <w:p w:rsidR="00120B3E" w:rsidRPr="00C04898" w:rsidRDefault="00120B3E" w:rsidP="00524B08">
      <w:pPr>
        <w:pBdr>
          <w:bottom w:val="single" w:sz="4" w:space="1" w:color="auto"/>
        </w:pBdr>
        <w:spacing w:after="0" w:line="240" w:lineRule="auto"/>
        <w:ind w:left="-284" w:right="-279" w:firstLine="284"/>
        <w:jc w:val="right"/>
        <w:rPr>
          <w:b/>
          <w:sz w:val="24"/>
          <w:szCs w:val="24"/>
          <w:lang w:val="fr-CA"/>
        </w:rPr>
      </w:pPr>
      <w:r w:rsidRPr="00C04898">
        <w:rPr>
          <w:b/>
          <w:sz w:val="24"/>
          <w:szCs w:val="24"/>
          <w:lang w:val="fr-CA"/>
        </w:rPr>
        <w:t>ANNEXE 26: Les transformateurs -</w:t>
      </w:r>
      <w:r w:rsidR="00A82FBA">
        <w:rPr>
          <w:b/>
          <w:sz w:val="24"/>
          <w:szCs w:val="24"/>
          <w:lang w:val="fr-CA"/>
        </w:rPr>
        <w:t xml:space="preserve"> </w:t>
      </w:r>
      <w:r w:rsidRPr="00C04898">
        <w:rPr>
          <w:b/>
          <w:sz w:val="24"/>
          <w:szCs w:val="24"/>
          <w:lang w:val="fr-CA"/>
        </w:rPr>
        <w:t>Renseignements pour l’enseignant (suite)</w:t>
      </w:r>
    </w:p>
    <w:p w:rsidR="00095F2E" w:rsidRDefault="00095F2E" w:rsidP="00524B08">
      <w:pPr>
        <w:spacing w:after="0" w:line="240" w:lineRule="auto"/>
        <w:rPr>
          <w:rFonts w:cstheme="minorHAnsi"/>
          <w:lang w:val="fr-CA"/>
        </w:rPr>
      </w:pPr>
    </w:p>
    <w:p w:rsidR="00095F2E" w:rsidRDefault="00095F2E" w:rsidP="00524B08">
      <w:pPr>
        <w:spacing w:after="0" w:line="240" w:lineRule="auto"/>
        <w:rPr>
          <w:rFonts w:cstheme="minorHAnsi"/>
          <w:lang w:val="fr-CA"/>
        </w:rPr>
      </w:pPr>
    </w:p>
    <w:p w:rsidR="007B69B4" w:rsidRPr="00095F2E" w:rsidRDefault="007B69B4" w:rsidP="00524B08">
      <w:pPr>
        <w:spacing w:after="0" w:line="240" w:lineRule="auto"/>
        <w:rPr>
          <w:rFonts w:cstheme="minorHAnsi"/>
          <w:lang w:val="fr-CA"/>
        </w:rPr>
      </w:pPr>
      <w:r w:rsidRPr="00095F2E">
        <w:rPr>
          <w:rFonts w:cstheme="minorHAnsi"/>
          <w:lang w:val="fr-CA"/>
        </w:rPr>
        <w:t>Un flux magnétique variable induit un potentiel dans une bobine. La différence de potentiel induite dans une bobine est directement proportionnelle au taux de variation du flux magnétique, selon la loi de Faraday :</w:t>
      </w:r>
      <w:r w:rsidR="00A82FBA">
        <w:rPr>
          <w:rFonts w:cstheme="minorHAnsi"/>
          <w:lang w:val="fr-CA"/>
        </w:rPr>
        <w:t xml:space="preserve"> </w:t>
      </w:r>
      <m:oMath>
        <m:r>
          <w:rPr>
            <w:rFonts w:ascii="Cambria Math" w:hAnsi="Cambria Math" w:cs="Calibri"/>
            <w:color w:val="000000"/>
            <w:lang w:val="fr-CA"/>
          </w:rPr>
          <m:t>V=-</m:t>
        </m:r>
        <m:f>
          <m:fPr>
            <m:ctrlPr>
              <w:rPr>
                <w:rFonts w:ascii="Cambria Math" w:hAnsi="Cambria Math" w:cs="Calibri"/>
                <w:i/>
                <w:color w:val="000000"/>
                <w:lang w:val="fr-CA"/>
              </w:rPr>
            </m:ctrlPr>
          </m:fPr>
          <m:num>
            <m:r>
              <w:rPr>
                <w:rFonts w:ascii="Cambria Math" w:hAnsi="Cambria Math" w:cs="Calibri"/>
                <w:color w:val="000000"/>
                <w:lang w:val="fr-CA"/>
              </w:rPr>
              <m:t>N∆</m:t>
            </m:r>
            <m:r>
              <m:rPr>
                <m:sty m:val="p"/>
              </m:rPr>
              <w:rPr>
                <w:rFonts w:ascii="Cambria Math" w:hAnsi="Cambria Math" w:cs="Calibri"/>
                <w:lang w:val="fr-CA"/>
              </w:rPr>
              <m:t>Φ</m:t>
            </m:r>
          </m:num>
          <m:den>
            <m:r>
              <w:rPr>
                <w:rFonts w:ascii="Cambria Math" w:hAnsi="Cambria Math" w:cs="Calibri"/>
                <w:color w:val="000000"/>
                <w:lang w:val="fr-CA"/>
              </w:rPr>
              <m:t>∆t</m:t>
            </m:r>
          </m:den>
        </m:f>
      </m:oMath>
    </w:p>
    <w:p w:rsidR="007B69B4" w:rsidRPr="00095F2E" w:rsidRDefault="007B69B4" w:rsidP="00524B08">
      <w:pPr>
        <w:spacing w:after="0" w:line="240" w:lineRule="auto"/>
        <w:rPr>
          <w:rFonts w:cstheme="minorHAnsi"/>
          <w:lang w:val="fr-CA"/>
        </w:rPr>
      </w:pPr>
    </w:p>
    <w:p w:rsidR="007B69B4" w:rsidRPr="00095F2E" w:rsidRDefault="007B69B4" w:rsidP="00524B08">
      <w:pPr>
        <w:spacing w:after="0" w:line="240" w:lineRule="auto"/>
        <w:rPr>
          <w:rFonts w:cstheme="minorHAnsi"/>
          <w:lang w:val="fr-CA"/>
        </w:rPr>
      </w:pPr>
      <w:r w:rsidRPr="00095F2E">
        <w:rPr>
          <w:rFonts w:cstheme="minorHAnsi"/>
          <w:lang w:val="fr-CA"/>
        </w:rPr>
        <w:t>Dans l’enroulement primaire, la différence de potentiel est calculée avec </w:t>
      </w:r>
      <w:proofErr w:type="gramStart"/>
      <w:r w:rsidRPr="00095F2E">
        <w:rPr>
          <w:rFonts w:cstheme="minorHAnsi"/>
          <w:lang w:val="fr-CA"/>
        </w:rPr>
        <w:t>:</w:t>
      </w:r>
      <w:r w:rsidR="00047CDE">
        <w:rPr>
          <w:rFonts w:cstheme="minorHAnsi"/>
          <w:lang w:val="fr-CA"/>
        </w:rPr>
        <w:t xml:space="preserve"> </w:t>
      </w:r>
      <m:oMath>
        <m:r>
          <w:rPr>
            <w:rFonts w:ascii="Cambria Math" w:hAnsi="Cambria Math" w:cs="Calibri"/>
            <w:color w:val="000000"/>
            <w:lang w:val="fr-CA"/>
          </w:rPr>
          <m:t>V=-</m:t>
        </m:r>
        <m:f>
          <m:fPr>
            <m:ctrlPr>
              <w:rPr>
                <w:rFonts w:ascii="Cambria Math" w:hAnsi="Cambria Math" w:cs="Calibri"/>
                <w:i/>
                <w:color w:val="000000"/>
                <w:lang w:val="fr-CA"/>
              </w:rPr>
            </m:ctrlPr>
          </m:fPr>
          <m:num>
            <m:sSub>
              <m:sSubPr>
                <m:ctrlPr>
                  <w:rPr>
                    <w:rFonts w:ascii="Cambria Math" w:hAnsi="Cambria Math" w:cs="Calibri"/>
                    <w:i/>
                    <w:color w:val="000000"/>
                    <w:lang w:val="fr-CA"/>
                  </w:rPr>
                </m:ctrlPr>
              </m:sSubPr>
              <m:e>
                <m:r>
                  <w:rPr>
                    <w:rFonts w:ascii="Cambria Math" w:hAnsi="Cambria Math" w:cs="Calibri"/>
                    <w:color w:val="000000"/>
                    <w:lang w:val="fr-CA"/>
                  </w:rPr>
                  <m:t>N</m:t>
                </m:r>
              </m:e>
              <m:sub>
                <m:r>
                  <w:rPr>
                    <w:rFonts w:ascii="Cambria Math" w:hAnsi="Cambria Math" w:cs="Calibri"/>
                    <w:color w:val="000000"/>
                    <w:lang w:val="fr-CA"/>
                  </w:rPr>
                  <m:t>p</m:t>
                </m:r>
              </m:sub>
            </m:sSub>
            <m:r>
              <w:rPr>
                <w:rFonts w:ascii="Cambria Math" w:hAnsi="Cambria Math" w:cs="Calibri"/>
                <w:color w:val="000000"/>
                <w:lang w:val="fr-CA"/>
              </w:rPr>
              <m:t>∆</m:t>
            </m:r>
            <m:r>
              <m:rPr>
                <m:sty m:val="p"/>
              </m:rPr>
              <w:rPr>
                <w:rFonts w:ascii="Cambria Math" w:hAnsi="Cambria Math" w:cs="Calibri"/>
                <w:lang w:val="fr-CA"/>
              </w:rPr>
              <m:t>Φ</m:t>
            </m:r>
          </m:num>
          <m:den>
            <m:r>
              <w:rPr>
                <w:rFonts w:ascii="Cambria Math" w:hAnsi="Cambria Math" w:cs="Calibri"/>
                <w:color w:val="000000"/>
                <w:lang w:val="fr-CA"/>
              </w:rPr>
              <m:t>∆t</m:t>
            </m:r>
          </m:den>
        </m:f>
      </m:oMath>
      <w:r w:rsidRPr="00095F2E">
        <w:rPr>
          <w:rFonts w:cstheme="minorHAnsi"/>
          <w:lang w:val="fr-CA"/>
        </w:rPr>
        <w:t>.</w:t>
      </w:r>
      <w:proofErr w:type="gramEnd"/>
      <w:r w:rsidRPr="00095F2E">
        <w:rPr>
          <w:rFonts w:cstheme="minorHAnsi"/>
          <w:lang w:val="fr-CA"/>
        </w:rPr>
        <w:t xml:space="preserve"> N</w:t>
      </w:r>
      <w:r w:rsidRPr="00095F2E">
        <w:rPr>
          <w:rFonts w:cstheme="minorHAnsi"/>
          <w:vertAlign w:val="subscript"/>
          <w:lang w:val="fr-CA"/>
        </w:rPr>
        <w:t>P</w:t>
      </w:r>
      <w:r w:rsidRPr="00095F2E">
        <w:rPr>
          <w:rFonts w:cstheme="minorHAnsi"/>
          <w:lang w:val="fr-CA"/>
        </w:rPr>
        <w:t xml:space="preserve"> est le nombre de tours de fil dans l’enroulement primaire. La différence de potentiel dans l’enroulement secondaire est calculée </w:t>
      </w:r>
      <w:proofErr w:type="gramStart"/>
      <w:r w:rsidRPr="00095F2E">
        <w:rPr>
          <w:rFonts w:cstheme="minorHAnsi"/>
          <w:lang w:val="fr-CA"/>
        </w:rPr>
        <w:t>avec</w:t>
      </w:r>
      <w:r w:rsidR="00047CDE">
        <w:rPr>
          <w:rFonts w:cstheme="minorHAnsi"/>
          <w:lang w:val="fr-CA"/>
        </w:rPr>
        <w:t xml:space="preserve"> </w:t>
      </w:r>
      <m:oMath>
        <w:proofErr w:type="gramEnd"/>
        <m:r>
          <w:rPr>
            <w:rFonts w:ascii="Cambria Math" w:hAnsi="Cambria Math" w:cs="Calibri"/>
            <w:color w:val="000000"/>
            <w:lang w:val="fr-CA"/>
          </w:rPr>
          <m:t>V=-</m:t>
        </m:r>
        <m:f>
          <m:fPr>
            <m:ctrlPr>
              <w:rPr>
                <w:rFonts w:ascii="Cambria Math" w:hAnsi="Cambria Math" w:cs="Calibri"/>
                <w:i/>
                <w:color w:val="000000"/>
                <w:lang w:val="fr-CA"/>
              </w:rPr>
            </m:ctrlPr>
          </m:fPr>
          <m:num>
            <m:sSub>
              <m:sSubPr>
                <m:ctrlPr>
                  <w:rPr>
                    <w:rFonts w:ascii="Cambria Math" w:hAnsi="Cambria Math" w:cs="Calibri"/>
                    <w:i/>
                    <w:color w:val="000000"/>
                    <w:lang w:val="fr-CA"/>
                  </w:rPr>
                </m:ctrlPr>
              </m:sSubPr>
              <m:e>
                <m:r>
                  <w:rPr>
                    <w:rFonts w:ascii="Cambria Math" w:hAnsi="Cambria Math" w:cs="Calibri"/>
                    <w:color w:val="000000"/>
                    <w:lang w:val="fr-CA"/>
                  </w:rPr>
                  <m:t>N</m:t>
                </m:r>
              </m:e>
              <m:sub>
                <m:r>
                  <w:rPr>
                    <w:rFonts w:ascii="Cambria Math" w:hAnsi="Cambria Math" w:cs="Calibri"/>
                    <w:color w:val="000000"/>
                    <w:lang w:val="fr-CA"/>
                  </w:rPr>
                  <m:t>s</m:t>
                </m:r>
              </m:sub>
            </m:sSub>
            <m:r>
              <w:rPr>
                <w:rFonts w:ascii="Cambria Math" w:hAnsi="Cambria Math" w:cs="Calibri"/>
                <w:color w:val="000000"/>
                <w:lang w:val="fr-CA"/>
              </w:rPr>
              <m:t>∆</m:t>
            </m:r>
            <m:r>
              <m:rPr>
                <m:sty m:val="p"/>
              </m:rPr>
              <w:rPr>
                <w:rFonts w:ascii="Cambria Math" w:hAnsi="Cambria Math" w:cs="Calibri"/>
                <w:lang w:val="fr-CA"/>
              </w:rPr>
              <m:t>Φ</m:t>
            </m:r>
          </m:num>
          <m:den>
            <m:r>
              <w:rPr>
                <w:rFonts w:ascii="Cambria Math" w:hAnsi="Cambria Math" w:cs="Calibri"/>
                <w:color w:val="000000"/>
                <w:lang w:val="fr-CA"/>
              </w:rPr>
              <m:t>∆t</m:t>
            </m:r>
          </m:den>
        </m:f>
      </m:oMath>
      <w:r w:rsidRPr="00095F2E">
        <w:rPr>
          <w:rFonts w:cstheme="minorHAnsi"/>
          <w:lang w:val="fr-CA"/>
        </w:rPr>
        <w:t>, où N</w:t>
      </w:r>
      <w:r w:rsidRPr="00095F2E">
        <w:rPr>
          <w:rFonts w:cstheme="minorHAnsi"/>
          <w:vertAlign w:val="subscript"/>
          <w:lang w:val="fr-CA"/>
        </w:rPr>
        <w:t>S</w:t>
      </w:r>
      <w:r w:rsidRPr="00095F2E">
        <w:rPr>
          <w:rFonts w:cstheme="minorHAnsi"/>
          <w:lang w:val="fr-CA"/>
        </w:rPr>
        <w:t xml:space="preserve"> est le nombre de tours de fil dans l’enroulement secondaire. </w:t>
      </w:r>
      <m:oMath>
        <m:f>
          <m:fPr>
            <m:ctrlPr>
              <w:rPr>
                <w:rFonts w:ascii="Cambria Math" w:hAnsi="Cambria Math" w:cs="Calibri"/>
                <w:i/>
                <w:color w:val="000000"/>
                <w:sz w:val="24"/>
                <w:szCs w:val="24"/>
                <w:lang w:val="fr-CA"/>
              </w:rPr>
            </m:ctrlPr>
          </m:fPr>
          <m:num>
            <m:r>
              <w:rPr>
                <w:rFonts w:ascii="Cambria Math" w:hAnsi="Cambria Math" w:cs="Calibri"/>
                <w:color w:val="000000"/>
                <w:sz w:val="24"/>
                <w:szCs w:val="24"/>
                <w:lang w:val="fr-CA"/>
              </w:rPr>
              <m:t>∆</m:t>
            </m:r>
            <m:r>
              <m:rPr>
                <m:sty m:val="p"/>
              </m:rPr>
              <w:rPr>
                <w:rFonts w:ascii="Cambria Math" w:hAnsi="Cambria Math" w:cs="Calibri"/>
                <w:sz w:val="24"/>
                <w:szCs w:val="24"/>
                <w:lang w:val="fr-CA"/>
              </w:rPr>
              <m:t>Φ</m:t>
            </m:r>
          </m:num>
          <m:den>
            <m:r>
              <w:rPr>
                <w:rFonts w:ascii="Cambria Math" w:hAnsi="Cambria Math" w:cs="Calibri"/>
                <w:color w:val="000000"/>
                <w:sz w:val="24"/>
                <w:szCs w:val="24"/>
                <w:lang w:val="fr-CA"/>
              </w:rPr>
              <m:t>∆t</m:t>
            </m:r>
          </m:den>
        </m:f>
      </m:oMath>
      <w:r w:rsidR="00047CDE">
        <w:rPr>
          <w:rFonts w:eastAsiaTheme="minorEastAsia" w:cstheme="minorHAnsi"/>
          <w:color w:val="000000"/>
          <w:lang w:val="fr-CA"/>
        </w:rPr>
        <w:t xml:space="preserve"> </w:t>
      </w:r>
      <w:proofErr w:type="gramStart"/>
      <w:r w:rsidRPr="00095F2E">
        <w:rPr>
          <w:rFonts w:cstheme="minorHAnsi"/>
          <w:lang w:val="fr-CA"/>
        </w:rPr>
        <w:t>est</w:t>
      </w:r>
      <w:proofErr w:type="gramEnd"/>
      <w:r w:rsidRPr="00095F2E">
        <w:rPr>
          <w:rFonts w:cstheme="minorHAnsi"/>
          <w:lang w:val="fr-CA"/>
        </w:rPr>
        <w:t xml:space="preserve"> identique pour les deux équations, donc on peut l’enlever. On peut donc dire </w:t>
      </w:r>
      <w:proofErr w:type="gramStart"/>
      <w:r w:rsidRPr="00095F2E">
        <w:rPr>
          <w:rFonts w:cstheme="minorHAnsi"/>
          <w:lang w:val="fr-CA"/>
        </w:rPr>
        <w:t>que</w:t>
      </w:r>
      <w:r w:rsidR="00047CDE">
        <w:rPr>
          <w:rFonts w:cstheme="minorHAnsi"/>
          <w:lang w:val="fr-CA"/>
        </w:rPr>
        <w:t xml:space="preserve"> </w:t>
      </w:r>
      <m:oMath>
        <w:proofErr w:type="gramEnd"/>
        <m:f>
          <m:fPr>
            <m:ctrlPr>
              <w:rPr>
                <w:rFonts w:ascii="Cambria Math" w:hAnsi="Cambria Math" w:cs="Calibri"/>
                <w:i/>
                <w:sz w:val="24"/>
                <w:szCs w:val="24"/>
                <w:lang w:val="fr-CA"/>
              </w:rPr>
            </m:ctrlPr>
          </m:fPr>
          <m:num>
            <m:sSub>
              <m:sSubPr>
                <m:ctrlPr>
                  <w:rPr>
                    <w:rFonts w:ascii="Cambria Math" w:hAnsi="Cambria Math" w:cs="Calibri"/>
                    <w:i/>
                    <w:sz w:val="24"/>
                    <w:szCs w:val="24"/>
                    <w:lang w:val="fr-CA"/>
                  </w:rPr>
                </m:ctrlPr>
              </m:sSubPr>
              <m:e>
                <m:r>
                  <w:rPr>
                    <w:rFonts w:ascii="Cambria Math" w:hAnsi="Cambria Math" w:cs="Calibri"/>
                    <w:sz w:val="24"/>
                    <w:szCs w:val="24"/>
                    <w:lang w:val="fr-CA"/>
                  </w:rPr>
                  <m:t>V</m:t>
                </m:r>
              </m:e>
              <m:sub>
                <m:r>
                  <w:rPr>
                    <w:rFonts w:ascii="Cambria Math" w:hAnsi="Cambria Math" w:cs="Calibri"/>
                    <w:sz w:val="24"/>
                    <w:szCs w:val="24"/>
                    <w:lang w:val="fr-CA"/>
                  </w:rPr>
                  <m:t>p</m:t>
                </m:r>
              </m:sub>
            </m:sSub>
          </m:num>
          <m:den>
            <m:sSub>
              <m:sSubPr>
                <m:ctrlPr>
                  <w:rPr>
                    <w:rFonts w:ascii="Cambria Math" w:hAnsi="Cambria Math" w:cs="Calibri"/>
                    <w:i/>
                    <w:sz w:val="24"/>
                    <w:szCs w:val="24"/>
                    <w:lang w:val="fr-CA"/>
                  </w:rPr>
                </m:ctrlPr>
              </m:sSubPr>
              <m:e>
                <m:r>
                  <w:rPr>
                    <w:rFonts w:ascii="Cambria Math" w:hAnsi="Cambria Math" w:cs="Calibri"/>
                    <w:sz w:val="24"/>
                    <w:szCs w:val="24"/>
                    <w:lang w:val="fr-CA"/>
                  </w:rPr>
                  <m:t>V</m:t>
                </m:r>
              </m:e>
              <m:sub>
                <m:r>
                  <w:rPr>
                    <w:rFonts w:ascii="Cambria Math" w:hAnsi="Cambria Math" w:cs="Calibri"/>
                    <w:sz w:val="24"/>
                    <w:szCs w:val="24"/>
                    <w:lang w:val="fr-CA"/>
                  </w:rPr>
                  <m:t>s</m:t>
                </m:r>
              </m:sub>
            </m:sSub>
          </m:den>
        </m:f>
        <m:r>
          <w:rPr>
            <w:rFonts w:ascii="Cambria Math" w:hAnsi="Cambria Math" w:cs="Calibri"/>
            <w:sz w:val="24"/>
            <w:szCs w:val="24"/>
            <w:lang w:val="fr-CA"/>
          </w:rPr>
          <m:t>=</m:t>
        </m:r>
        <m:f>
          <m:fPr>
            <m:ctrlPr>
              <w:rPr>
                <w:rFonts w:ascii="Cambria Math" w:hAnsi="Cambria Math" w:cs="Calibri"/>
                <w:i/>
                <w:sz w:val="24"/>
                <w:szCs w:val="24"/>
                <w:lang w:val="fr-CA"/>
              </w:rPr>
            </m:ctrlPr>
          </m:fPr>
          <m:num>
            <m:sSub>
              <m:sSubPr>
                <m:ctrlPr>
                  <w:rPr>
                    <w:rFonts w:ascii="Cambria Math" w:hAnsi="Cambria Math" w:cs="Calibri"/>
                    <w:i/>
                    <w:sz w:val="24"/>
                    <w:szCs w:val="24"/>
                    <w:lang w:val="fr-CA"/>
                  </w:rPr>
                </m:ctrlPr>
              </m:sSubPr>
              <m:e>
                <m:r>
                  <w:rPr>
                    <w:rFonts w:ascii="Cambria Math" w:hAnsi="Cambria Math" w:cs="Calibri"/>
                    <w:sz w:val="24"/>
                    <w:szCs w:val="24"/>
                    <w:lang w:val="fr-CA"/>
                  </w:rPr>
                  <m:t>N</m:t>
                </m:r>
              </m:e>
              <m:sub>
                <m:r>
                  <w:rPr>
                    <w:rFonts w:ascii="Cambria Math" w:hAnsi="Cambria Math" w:cs="Calibri"/>
                    <w:sz w:val="24"/>
                    <w:szCs w:val="24"/>
                    <w:lang w:val="fr-CA"/>
                  </w:rPr>
                  <m:t>p</m:t>
                </m:r>
              </m:sub>
            </m:sSub>
          </m:num>
          <m:den>
            <m:sSub>
              <m:sSubPr>
                <m:ctrlPr>
                  <w:rPr>
                    <w:rFonts w:ascii="Cambria Math" w:hAnsi="Cambria Math" w:cs="Calibri"/>
                    <w:i/>
                    <w:sz w:val="24"/>
                    <w:szCs w:val="24"/>
                    <w:lang w:val="fr-CA"/>
                  </w:rPr>
                </m:ctrlPr>
              </m:sSubPr>
              <m:e>
                <m:r>
                  <w:rPr>
                    <w:rFonts w:ascii="Cambria Math" w:hAnsi="Cambria Math" w:cs="Calibri"/>
                    <w:sz w:val="24"/>
                    <w:szCs w:val="24"/>
                    <w:lang w:val="fr-CA"/>
                  </w:rPr>
                  <m:t>N</m:t>
                </m:r>
              </m:e>
              <m:sub>
                <m:r>
                  <w:rPr>
                    <w:rFonts w:ascii="Cambria Math" w:hAnsi="Cambria Math" w:cs="Calibri"/>
                    <w:sz w:val="24"/>
                    <w:szCs w:val="24"/>
                    <w:lang w:val="fr-CA"/>
                  </w:rPr>
                  <m:t>s</m:t>
                </m:r>
              </m:sub>
            </m:sSub>
          </m:den>
        </m:f>
      </m:oMath>
      <w:r w:rsidRPr="00095F2E">
        <w:rPr>
          <w:rFonts w:cstheme="minorHAnsi"/>
          <w:lang w:val="fr-CA"/>
        </w:rPr>
        <w:t>. Si N</w:t>
      </w:r>
      <w:r w:rsidRPr="00095F2E">
        <w:rPr>
          <w:rFonts w:cstheme="minorHAnsi"/>
          <w:vertAlign w:val="subscript"/>
          <w:lang w:val="fr-CA"/>
        </w:rPr>
        <w:t>S</w:t>
      </w:r>
      <w:r w:rsidRPr="00095F2E">
        <w:rPr>
          <w:rFonts w:cstheme="minorHAnsi"/>
          <w:lang w:val="fr-CA"/>
        </w:rPr>
        <w:t xml:space="preserve"> est plus grand que N</w:t>
      </w:r>
      <w:r w:rsidRPr="00095F2E">
        <w:rPr>
          <w:rFonts w:cstheme="minorHAnsi"/>
          <w:vertAlign w:val="subscript"/>
          <w:lang w:val="fr-CA"/>
        </w:rPr>
        <w:t>P</w:t>
      </w:r>
      <w:r w:rsidRPr="00095F2E">
        <w:rPr>
          <w:rFonts w:cstheme="minorHAnsi"/>
          <w:lang w:val="fr-CA"/>
        </w:rPr>
        <w:t>, le potentiel de l’enroulement secondaire est plus grand que le potentiel de l’enroulement primaire. Il s’agit donc d’un transformateur survolteur. Si N</w:t>
      </w:r>
      <w:r w:rsidRPr="00095F2E">
        <w:rPr>
          <w:rFonts w:cstheme="minorHAnsi"/>
          <w:vertAlign w:val="subscript"/>
          <w:lang w:val="fr-CA"/>
        </w:rPr>
        <w:t>S</w:t>
      </w:r>
      <w:r w:rsidRPr="00095F2E">
        <w:rPr>
          <w:rFonts w:cstheme="minorHAnsi"/>
          <w:lang w:val="fr-CA"/>
        </w:rPr>
        <w:t xml:space="preserve"> est plus petit que N</w:t>
      </w:r>
      <w:r w:rsidRPr="00095F2E">
        <w:rPr>
          <w:rFonts w:cstheme="minorHAnsi"/>
          <w:vertAlign w:val="subscript"/>
          <w:lang w:val="fr-CA"/>
        </w:rPr>
        <w:t>P</w:t>
      </w:r>
      <w:r w:rsidRPr="00095F2E">
        <w:rPr>
          <w:rFonts w:cstheme="minorHAnsi"/>
          <w:lang w:val="fr-CA"/>
        </w:rPr>
        <w:t xml:space="preserve">, le potentiel électrique secondaire est plus élevé que le potentiel électrique primaire. Il s’agit donc d’un transformateur dévolteur. </w:t>
      </w:r>
    </w:p>
    <w:p w:rsidR="007B69B4" w:rsidRPr="00095F2E" w:rsidRDefault="007B69B4" w:rsidP="00524B08">
      <w:pPr>
        <w:spacing w:after="0" w:line="240" w:lineRule="auto"/>
        <w:rPr>
          <w:rFonts w:cstheme="minorHAnsi"/>
          <w:lang w:val="fr-CA"/>
        </w:rPr>
      </w:pPr>
    </w:p>
    <w:p w:rsidR="007B69B4" w:rsidRPr="00095F2E" w:rsidRDefault="007B69B4" w:rsidP="00774ADE">
      <w:pPr>
        <w:spacing w:after="120" w:line="240" w:lineRule="auto"/>
        <w:rPr>
          <w:rFonts w:cstheme="minorHAnsi"/>
          <w:lang w:val="fr-CA"/>
        </w:rPr>
      </w:pPr>
      <w:r w:rsidRPr="00095F2E">
        <w:rPr>
          <w:rFonts w:cstheme="minorHAnsi"/>
          <w:lang w:val="fr-CA"/>
        </w:rPr>
        <w:t xml:space="preserve">Les élèves ont tendance à croire que, puisque le potentiel de sortie peut être plus élevé que le potentiel d’entrée, un transformateur peut augmenter la puissance. Ceci serait semblable à la production d’énergie à partir de rien, ce qui n’est pas possible. Puisque l’énergie est toujours conservée, la puissance de sortie ne peut pas être plus élevée que la puissance d’entrée. En fait, puisqu’un transformateur libère de la chaleur lorsqu’il fonctionne, la puissance de sortie est moins élevée que la puissance d’entrée. Un transformateur n’est jamais efficace à 100 %. Cependant, si l’on considère une situation idéale, la puissance d’entrée devrait être égale à la puissance de sortie. </w:t>
      </w:r>
    </w:p>
    <w:p w:rsidR="007B69B4" w:rsidRDefault="00FC32BC" w:rsidP="00774ADE">
      <w:pPr>
        <w:spacing w:after="120" w:line="240" w:lineRule="auto"/>
        <w:rPr>
          <w:rFonts w:eastAsiaTheme="minorEastAsia" w:cstheme="minorHAnsi"/>
          <w:lang w:val="fr-CA"/>
        </w:rPr>
      </w:pPr>
      <m:oMathPara>
        <m:oMathParaPr>
          <m:jc m:val="left"/>
        </m:oMathParaPr>
        <m:oMath>
          <m:sSub>
            <m:sSubPr>
              <m:ctrlPr>
                <w:rPr>
                  <w:rFonts w:ascii="Cambria Math" w:hAnsi="Cambria Math" w:cs="Calibri"/>
                  <w:i/>
                  <w:lang w:val="fr-CA"/>
                </w:rPr>
              </m:ctrlPr>
            </m:sSubPr>
            <m:e>
              <m:r>
                <w:rPr>
                  <w:rFonts w:ascii="Cambria Math" w:hAnsi="Cambria Math" w:cs="Calibri"/>
                  <w:lang w:val="fr-CA"/>
                </w:rPr>
                <m:t>P</m:t>
              </m:r>
            </m:e>
            <m:sub>
              <m:r>
                <w:rPr>
                  <w:rFonts w:ascii="Cambria Math" w:hAnsi="Cambria Math" w:cs="Calibri"/>
                  <w:lang w:val="fr-CA"/>
                </w:rPr>
                <m:t>p</m:t>
              </m:r>
            </m:sub>
          </m:sSub>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P</m:t>
              </m:r>
            </m:e>
            <m:sub>
              <m:r>
                <w:rPr>
                  <w:rFonts w:ascii="Cambria Math" w:hAnsi="Cambria Math" w:cs="Calibri"/>
                  <w:lang w:val="fr-CA"/>
                </w:rPr>
                <m:t>s</m:t>
              </m:r>
            </m:sub>
          </m:sSub>
        </m:oMath>
      </m:oMathPara>
    </w:p>
    <w:p w:rsidR="00774ADE" w:rsidRPr="00095F2E" w:rsidRDefault="00FC32BC" w:rsidP="00774ADE">
      <w:pPr>
        <w:spacing w:after="120" w:line="240" w:lineRule="auto"/>
        <w:rPr>
          <w:rFonts w:cstheme="minorHAnsi"/>
          <w:lang w:val="fr-CA"/>
        </w:rPr>
      </w:pPr>
      <m:oMathPara>
        <m:oMathParaPr>
          <m:jc m:val="left"/>
        </m:oMathParaPr>
        <m:oMath>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p</m:t>
              </m:r>
            </m:sub>
          </m:sSub>
          <m:sSub>
            <m:sSubPr>
              <m:ctrlPr>
                <w:rPr>
                  <w:rFonts w:ascii="Cambria Math" w:hAnsi="Cambria Math" w:cs="Calibri"/>
                  <w:i/>
                  <w:lang w:val="fr-CA"/>
                </w:rPr>
              </m:ctrlPr>
            </m:sSubPr>
            <m:e>
              <m:r>
                <w:rPr>
                  <w:rFonts w:ascii="Cambria Math" w:hAnsi="Cambria Math" w:cs="Calibri"/>
                  <w:lang w:val="fr-CA"/>
                </w:rPr>
                <m:t>I</m:t>
              </m:r>
            </m:e>
            <m:sub>
              <m:r>
                <w:rPr>
                  <w:rFonts w:ascii="Cambria Math" w:hAnsi="Cambria Math" w:cs="Calibri"/>
                  <w:lang w:val="fr-CA"/>
                </w:rPr>
                <m:t>p</m:t>
              </m:r>
            </m:sub>
          </m:sSub>
          <m:r>
            <w:rPr>
              <w:rFonts w:ascii="Cambria Math" w:hAnsi="Cambria Math" w:cs="Calibri"/>
              <w:lang w:val="fr-CA"/>
            </w:rPr>
            <m:t>=</m:t>
          </m:r>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s</m:t>
              </m:r>
            </m:sub>
          </m:sSub>
          <m:sSub>
            <m:sSubPr>
              <m:ctrlPr>
                <w:rPr>
                  <w:rFonts w:ascii="Cambria Math" w:hAnsi="Cambria Math" w:cs="Calibri"/>
                  <w:i/>
                  <w:lang w:val="fr-CA"/>
                </w:rPr>
              </m:ctrlPr>
            </m:sSubPr>
            <m:e>
              <m:r>
                <w:rPr>
                  <w:rFonts w:ascii="Cambria Math" w:hAnsi="Cambria Math" w:cs="Calibri"/>
                  <w:lang w:val="fr-CA"/>
                </w:rPr>
                <m:t>I</m:t>
              </m:r>
            </m:e>
            <m:sub>
              <m:r>
                <w:rPr>
                  <w:rFonts w:ascii="Cambria Math" w:hAnsi="Cambria Math" w:cs="Calibri"/>
                  <w:lang w:val="fr-CA"/>
                </w:rPr>
                <m:t>s</m:t>
              </m:r>
            </m:sub>
          </m:sSub>
        </m:oMath>
      </m:oMathPara>
    </w:p>
    <w:p w:rsidR="007B69B4" w:rsidRPr="00095F2E" w:rsidRDefault="00FC32BC" w:rsidP="00524B08">
      <w:pPr>
        <w:spacing w:after="0" w:line="240" w:lineRule="auto"/>
        <w:rPr>
          <w:rFonts w:cstheme="minorHAnsi"/>
          <w:lang w:val="fr-CA"/>
        </w:rPr>
      </w:pPr>
      <m:oMathPara>
        <m:oMathParaPr>
          <m:jc m:val="left"/>
        </m:oMathParaPr>
        <m:oMath>
          <m:f>
            <m:fPr>
              <m:ctrlPr>
                <w:rPr>
                  <w:rFonts w:ascii="Cambria Math" w:hAnsi="Cambria Math" w:cs="Calibri"/>
                  <w:i/>
                  <w:lang w:val="fr-CA"/>
                </w:rPr>
              </m:ctrlPr>
            </m:fPr>
            <m:num>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p</m:t>
                  </m:r>
                </m:sub>
              </m:sSub>
            </m:num>
            <m:den>
              <m:sSub>
                <m:sSubPr>
                  <m:ctrlPr>
                    <w:rPr>
                      <w:rFonts w:ascii="Cambria Math" w:hAnsi="Cambria Math" w:cs="Calibri"/>
                      <w:i/>
                      <w:lang w:val="fr-CA"/>
                    </w:rPr>
                  </m:ctrlPr>
                </m:sSubPr>
                <m:e>
                  <m:r>
                    <w:rPr>
                      <w:rFonts w:ascii="Cambria Math" w:hAnsi="Cambria Math" w:cs="Calibri"/>
                      <w:lang w:val="fr-CA"/>
                    </w:rPr>
                    <m:t>V</m:t>
                  </m:r>
                </m:e>
                <m:sub>
                  <m:r>
                    <w:rPr>
                      <w:rFonts w:ascii="Cambria Math" w:hAnsi="Cambria Math" w:cs="Calibri"/>
                      <w:lang w:val="fr-CA"/>
                    </w:rPr>
                    <m:t>s</m:t>
                  </m:r>
                </m:sub>
              </m:sSub>
            </m:den>
          </m:f>
          <m:r>
            <w:rPr>
              <w:rFonts w:ascii="Cambria Math" w:hAnsi="Cambria Math" w:cs="Calibri"/>
              <w:lang w:val="fr-CA"/>
            </w:rPr>
            <m:t>=</m:t>
          </m:r>
          <m:f>
            <m:fPr>
              <m:ctrlPr>
                <w:rPr>
                  <w:rFonts w:ascii="Cambria Math" w:hAnsi="Cambria Math" w:cs="Calibri"/>
                  <w:i/>
                  <w:lang w:val="fr-CA"/>
                </w:rPr>
              </m:ctrlPr>
            </m:fPr>
            <m:num>
              <m:sSub>
                <m:sSubPr>
                  <m:ctrlPr>
                    <w:rPr>
                      <w:rFonts w:ascii="Cambria Math" w:hAnsi="Cambria Math" w:cs="Calibri"/>
                      <w:i/>
                      <w:lang w:val="fr-CA"/>
                    </w:rPr>
                  </m:ctrlPr>
                </m:sSubPr>
                <m:e>
                  <m:r>
                    <w:rPr>
                      <w:rFonts w:ascii="Cambria Math" w:hAnsi="Cambria Math" w:cs="Calibri"/>
                      <w:lang w:val="fr-CA"/>
                    </w:rPr>
                    <m:t>I</m:t>
                  </m:r>
                </m:e>
                <m:sub>
                  <m:r>
                    <w:rPr>
                      <w:rFonts w:ascii="Cambria Math" w:hAnsi="Cambria Math" w:cs="Calibri"/>
                      <w:lang w:val="fr-CA"/>
                    </w:rPr>
                    <m:t>s</m:t>
                  </m:r>
                </m:sub>
              </m:sSub>
            </m:num>
            <m:den>
              <m:sSub>
                <m:sSubPr>
                  <m:ctrlPr>
                    <w:rPr>
                      <w:rFonts w:ascii="Cambria Math" w:hAnsi="Cambria Math" w:cs="Calibri"/>
                      <w:i/>
                      <w:lang w:val="fr-CA"/>
                    </w:rPr>
                  </m:ctrlPr>
                </m:sSubPr>
                <m:e>
                  <m:r>
                    <w:rPr>
                      <w:rFonts w:ascii="Cambria Math" w:hAnsi="Cambria Math" w:cs="Calibri"/>
                      <w:lang w:val="fr-CA"/>
                    </w:rPr>
                    <m:t>I</m:t>
                  </m:r>
                </m:e>
                <m:sub>
                  <m:r>
                    <w:rPr>
                      <w:rFonts w:ascii="Cambria Math" w:hAnsi="Cambria Math" w:cs="Calibri"/>
                      <w:lang w:val="fr-CA"/>
                    </w:rPr>
                    <m:t>p</m:t>
                  </m:r>
                </m:sub>
              </m:sSub>
            </m:den>
          </m:f>
        </m:oMath>
      </m:oMathPara>
    </w:p>
    <w:p w:rsidR="007B69B4" w:rsidRPr="00095F2E" w:rsidRDefault="007B69B4" w:rsidP="00524B08">
      <w:pPr>
        <w:spacing w:after="0" w:line="240" w:lineRule="auto"/>
        <w:rPr>
          <w:rFonts w:cstheme="minorHAnsi"/>
          <w:lang w:val="fr-CA"/>
        </w:rPr>
      </w:pPr>
    </w:p>
    <w:p w:rsidR="007B69B4" w:rsidRPr="00095F2E" w:rsidRDefault="007B69B4" w:rsidP="00524B08">
      <w:pPr>
        <w:spacing w:after="0" w:line="240" w:lineRule="auto"/>
        <w:rPr>
          <w:rFonts w:cstheme="minorHAnsi"/>
          <w:lang w:val="fr-CA"/>
        </w:rPr>
      </w:pPr>
      <w:r w:rsidRPr="00095F2E">
        <w:rPr>
          <w:rFonts w:cstheme="minorHAnsi"/>
          <w:lang w:val="fr-CA"/>
        </w:rPr>
        <w:t>Selon cette relation, un enroulement à potentiel élevé produira un courant peu élevé (ainsi qu’une résistance élevée). Un enroulement à potentiel peu élevé produira un courant à valeur élevée (et une résistance peu élevée).</w:t>
      </w:r>
    </w:p>
    <w:p w:rsidR="00095F2E" w:rsidRDefault="00FC32BC" w:rsidP="00524B08">
      <w:pPr>
        <w:spacing w:after="0" w:line="240" w:lineRule="auto"/>
        <w:jc w:val="center"/>
        <w:rPr>
          <w:rFonts w:ascii="Arial" w:hAnsi="Arial" w:cs="Arial"/>
          <w:lang w:val="fr-CA"/>
        </w:rPr>
      </w:pPr>
      <w:r>
        <w:rPr>
          <w:rFonts w:ascii="Arial" w:hAnsi="Arial" w:cs="Arial"/>
          <w:noProof/>
          <w:lang w:val="fr-CA" w:eastAsia="fr-CA"/>
        </w:rPr>
        <w:pict>
          <v:shape id="_x0000_s22317" type="#_x0000_t202" style="position:absolute;left:0;text-align:left;margin-left:417.8pt;margin-top:165.2pt;width:62.05pt;height:23.75pt;z-index:252038144" filled="f" stroked="f">
            <v:textbox>
              <w:txbxContent>
                <w:p w:rsidR="001801DB" w:rsidRPr="006C41D8" w:rsidRDefault="001801DB" w:rsidP="00784CA8">
                  <w:pPr>
                    <w:jc w:val="right"/>
                    <w:rPr>
                      <w:sz w:val="20"/>
                      <w:lang w:val="fr-CA"/>
                    </w:rPr>
                  </w:pPr>
                  <w:r w:rsidRPr="006C41D8">
                    <w:rPr>
                      <w:sz w:val="20"/>
                      <w:lang w:val="fr-CA"/>
                    </w:rPr>
                    <w:t xml:space="preserve">Bloc </w:t>
                  </w:r>
                  <w:r>
                    <w:rPr>
                      <w:sz w:val="20"/>
                      <w:lang w:val="fr-CA"/>
                    </w:rPr>
                    <w:t>G</w:t>
                  </w:r>
                </w:p>
              </w:txbxContent>
            </v:textbox>
          </v:shape>
        </w:pict>
      </w:r>
    </w:p>
    <w:sectPr w:rsidR="00095F2E" w:rsidSect="000D18DB">
      <w:headerReference w:type="even" r:id="rId9"/>
      <w:headerReference w:type="default" r:id="rId1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FC32BC">
    <w:pPr>
      <w:pStyle w:val="Header"/>
    </w:pPr>
    <w:r w:rsidRPr="00FC32BC">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FC32BC">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FC32BC">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FC32BC" w:rsidP="002A21D2">
    <w:pPr>
      <w:pStyle w:val="Header"/>
      <w:ind w:left="-284" w:firstLine="720"/>
      <w:jc w:val="right"/>
    </w:pPr>
    <w:r w:rsidRPr="00FC32BC">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FC32BC">
      <w:rPr>
        <w:noProof/>
        <w:lang w:eastAsia="en-CA"/>
      </w:rPr>
      <w:pict>
        <v:rect id="_x0000_s2076" style="position:absolute;left:0;text-align:left;margin-left:-19.35pt;margin-top:-6.9pt;width:377.6pt;height:44.25pt;z-index:251676672"/>
      </w:pict>
    </w:r>
    <w:r w:rsidRPr="00FC32BC">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6"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53"/>
    <w:rsid w:val="000071EF"/>
    <w:rsid w:val="00020254"/>
    <w:rsid w:val="000234BA"/>
    <w:rsid w:val="00023CAF"/>
    <w:rsid w:val="00025895"/>
    <w:rsid w:val="00026BF5"/>
    <w:rsid w:val="00030660"/>
    <w:rsid w:val="00030B52"/>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96640"/>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87468"/>
    <w:rsid w:val="00192DCD"/>
    <w:rsid w:val="00193ECD"/>
    <w:rsid w:val="001A4D1D"/>
    <w:rsid w:val="001A586F"/>
    <w:rsid w:val="001A6AFE"/>
    <w:rsid w:val="001C1485"/>
    <w:rsid w:val="001C3C46"/>
    <w:rsid w:val="001C4539"/>
    <w:rsid w:val="001C7C1B"/>
    <w:rsid w:val="001D03DE"/>
    <w:rsid w:val="001D147A"/>
    <w:rsid w:val="001E33CB"/>
    <w:rsid w:val="001E40DD"/>
    <w:rsid w:val="001F2C51"/>
    <w:rsid w:val="001F32F1"/>
    <w:rsid w:val="001F46C4"/>
    <w:rsid w:val="002007EC"/>
    <w:rsid w:val="00201B45"/>
    <w:rsid w:val="00203727"/>
    <w:rsid w:val="0021089A"/>
    <w:rsid w:val="00210C14"/>
    <w:rsid w:val="002169BD"/>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A78DA"/>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D04FB"/>
    <w:rsid w:val="005E21C3"/>
    <w:rsid w:val="005F23A4"/>
    <w:rsid w:val="005F5115"/>
    <w:rsid w:val="005F7325"/>
    <w:rsid w:val="00601D1E"/>
    <w:rsid w:val="00604E04"/>
    <w:rsid w:val="0060724B"/>
    <w:rsid w:val="00612128"/>
    <w:rsid w:val="00612285"/>
    <w:rsid w:val="00612CCA"/>
    <w:rsid w:val="0062022B"/>
    <w:rsid w:val="006307F7"/>
    <w:rsid w:val="00631812"/>
    <w:rsid w:val="0063789E"/>
    <w:rsid w:val="00640039"/>
    <w:rsid w:val="0064012B"/>
    <w:rsid w:val="00647071"/>
    <w:rsid w:val="00652A34"/>
    <w:rsid w:val="00653009"/>
    <w:rsid w:val="006635CF"/>
    <w:rsid w:val="00664CE4"/>
    <w:rsid w:val="006752DA"/>
    <w:rsid w:val="00680C02"/>
    <w:rsid w:val="00684A43"/>
    <w:rsid w:val="00694A1D"/>
    <w:rsid w:val="00696FCB"/>
    <w:rsid w:val="006A5F1F"/>
    <w:rsid w:val="006B1071"/>
    <w:rsid w:val="006B4420"/>
    <w:rsid w:val="006B6876"/>
    <w:rsid w:val="006B7C85"/>
    <w:rsid w:val="006C501A"/>
    <w:rsid w:val="006D57C3"/>
    <w:rsid w:val="006E543E"/>
    <w:rsid w:val="006E59EF"/>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C7C65"/>
    <w:rsid w:val="007D031F"/>
    <w:rsid w:val="007D7C36"/>
    <w:rsid w:val="007E0294"/>
    <w:rsid w:val="007E57C2"/>
    <w:rsid w:val="007E5B50"/>
    <w:rsid w:val="007F7F4D"/>
    <w:rsid w:val="00807256"/>
    <w:rsid w:val="00823F90"/>
    <w:rsid w:val="00830625"/>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1668"/>
    <w:rsid w:val="00882130"/>
    <w:rsid w:val="00883577"/>
    <w:rsid w:val="008853E7"/>
    <w:rsid w:val="0089754B"/>
    <w:rsid w:val="008A1F43"/>
    <w:rsid w:val="008A380F"/>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30CDD"/>
    <w:rsid w:val="0094073C"/>
    <w:rsid w:val="00940E04"/>
    <w:rsid w:val="00942FE0"/>
    <w:rsid w:val="009460E1"/>
    <w:rsid w:val="0095432C"/>
    <w:rsid w:val="00962D80"/>
    <w:rsid w:val="00964CAB"/>
    <w:rsid w:val="00971DED"/>
    <w:rsid w:val="0097268B"/>
    <w:rsid w:val="00973C93"/>
    <w:rsid w:val="00977E41"/>
    <w:rsid w:val="009833F5"/>
    <w:rsid w:val="00983CA7"/>
    <w:rsid w:val="00985565"/>
    <w:rsid w:val="00990A09"/>
    <w:rsid w:val="00990D53"/>
    <w:rsid w:val="00993BC5"/>
    <w:rsid w:val="009A2412"/>
    <w:rsid w:val="009A2DDD"/>
    <w:rsid w:val="009A53CF"/>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12DD"/>
    <w:rsid w:val="00A03C7F"/>
    <w:rsid w:val="00A14590"/>
    <w:rsid w:val="00A151D5"/>
    <w:rsid w:val="00A15904"/>
    <w:rsid w:val="00A162F5"/>
    <w:rsid w:val="00A1780C"/>
    <w:rsid w:val="00A2114E"/>
    <w:rsid w:val="00A227DA"/>
    <w:rsid w:val="00A27D56"/>
    <w:rsid w:val="00A31D58"/>
    <w:rsid w:val="00A34E0F"/>
    <w:rsid w:val="00A35527"/>
    <w:rsid w:val="00A40324"/>
    <w:rsid w:val="00A45309"/>
    <w:rsid w:val="00A46A73"/>
    <w:rsid w:val="00A501AB"/>
    <w:rsid w:val="00A564F6"/>
    <w:rsid w:val="00A57EEF"/>
    <w:rsid w:val="00A66A53"/>
    <w:rsid w:val="00A70F3C"/>
    <w:rsid w:val="00A7474C"/>
    <w:rsid w:val="00A82FBA"/>
    <w:rsid w:val="00A83025"/>
    <w:rsid w:val="00A95D0F"/>
    <w:rsid w:val="00AA698F"/>
    <w:rsid w:val="00AB0B11"/>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6F2C"/>
    <w:rsid w:val="00B57522"/>
    <w:rsid w:val="00B616C5"/>
    <w:rsid w:val="00B6320A"/>
    <w:rsid w:val="00B64351"/>
    <w:rsid w:val="00B70A67"/>
    <w:rsid w:val="00B71DD8"/>
    <w:rsid w:val="00B720E7"/>
    <w:rsid w:val="00B74CCD"/>
    <w:rsid w:val="00B802A3"/>
    <w:rsid w:val="00B839F4"/>
    <w:rsid w:val="00B87E27"/>
    <w:rsid w:val="00B91794"/>
    <w:rsid w:val="00B92BA7"/>
    <w:rsid w:val="00BA1098"/>
    <w:rsid w:val="00BA190E"/>
    <w:rsid w:val="00BB00E7"/>
    <w:rsid w:val="00BB46D5"/>
    <w:rsid w:val="00BB51DB"/>
    <w:rsid w:val="00BB6562"/>
    <w:rsid w:val="00BB6F79"/>
    <w:rsid w:val="00BC02CA"/>
    <w:rsid w:val="00BC10C9"/>
    <w:rsid w:val="00BC125C"/>
    <w:rsid w:val="00BC28B6"/>
    <w:rsid w:val="00BC5A7C"/>
    <w:rsid w:val="00BD26E8"/>
    <w:rsid w:val="00BD34B3"/>
    <w:rsid w:val="00BD51A4"/>
    <w:rsid w:val="00BE5937"/>
    <w:rsid w:val="00BE5FF4"/>
    <w:rsid w:val="00BE6B0B"/>
    <w:rsid w:val="00BF0665"/>
    <w:rsid w:val="00BF4C81"/>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A7752"/>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30A"/>
    <w:rsid w:val="00D45C8E"/>
    <w:rsid w:val="00D51892"/>
    <w:rsid w:val="00D53998"/>
    <w:rsid w:val="00D539EA"/>
    <w:rsid w:val="00D57383"/>
    <w:rsid w:val="00D57AC6"/>
    <w:rsid w:val="00D64EE1"/>
    <w:rsid w:val="00D7197F"/>
    <w:rsid w:val="00D723E2"/>
    <w:rsid w:val="00D80921"/>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3435"/>
    <w:rsid w:val="00EC526C"/>
    <w:rsid w:val="00ED3AAA"/>
    <w:rsid w:val="00ED5226"/>
    <w:rsid w:val="00EE2BBE"/>
    <w:rsid w:val="00EF1A78"/>
    <w:rsid w:val="00EF2835"/>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43B50"/>
    <w:rsid w:val="00F44E75"/>
    <w:rsid w:val="00F51F2C"/>
    <w:rsid w:val="00F524DB"/>
    <w:rsid w:val="00F52BFD"/>
    <w:rsid w:val="00F54112"/>
    <w:rsid w:val="00F6008C"/>
    <w:rsid w:val="00F611CD"/>
    <w:rsid w:val="00F613EE"/>
    <w:rsid w:val="00F6337D"/>
    <w:rsid w:val="00F64BCD"/>
    <w:rsid w:val="00F66173"/>
    <w:rsid w:val="00F7799C"/>
    <w:rsid w:val="00F81A38"/>
    <w:rsid w:val="00F83879"/>
    <w:rsid w:val="00F847EF"/>
    <w:rsid w:val="00F84E7D"/>
    <w:rsid w:val="00F8533C"/>
    <w:rsid w:val="00F86FAD"/>
    <w:rsid w:val="00F9012C"/>
    <w:rsid w:val="00F9300E"/>
    <w:rsid w:val="00F94E8A"/>
    <w:rsid w:val="00F96B85"/>
    <w:rsid w:val="00F97AD8"/>
    <w:rsid w:val="00FA6DE3"/>
    <w:rsid w:val="00FB501D"/>
    <w:rsid w:val="00FB6978"/>
    <w:rsid w:val="00FB6996"/>
    <w:rsid w:val="00FC32BC"/>
    <w:rsid w:val="00FC581D"/>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6" style="mso-width-relative:margin;mso-height-relative:margin" fillcolor="white" stroke="f">
      <v:fill color="white"/>
      <v:stroke on="f"/>
      <o:colormenu v:ext="edit" fillcolor="none" strokecolor="none"/>
    </o:shapedefaults>
    <o:shapelayout v:ext="edit">
      <o:idmap v:ext="edit" data="1,4,6,8,10,12,14,16,19,21"/>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FC1C-7DC5-464B-B77D-8B7C5CF8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3056</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2013-04-25T16:45:00Z</dcterms:created>
  <dcterms:modified xsi:type="dcterms:W3CDTF">2013-04-25T16:45:00Z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